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A439AA" w14:textId="77777777" w:rsidR="000161CF" w:rsidRPr="006D04D2" w:rsidRDefault="000161CF" w:rsidP="006D04D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2A87581" w14:textId="1053B476" w:rsidR="003E36A0" w:rsidRDefault="003E36A0" w:rsidP="003E36A0">
      <w:pPr>
        <w:spacing w:after="0"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Tomada Pública de Contribuições nº 03/2018</w:t>
      </w:r>
    </w:p>
    <w:p w14:paraId="763ECFEE" w14:textId="62BBDF16" w:rsidR="003E36A0" w:rsidRDefault="003E36A0" w:rsidP="003E36A0">
      <w:pPr>
        <w:spacing w:after="0" w:line="360" w:lineRule="auto"/>
        <w:jc w:val="both"/>
        <w:rPr>
          <w:rFonts w:ascii="Tahoma" w:hAnsi="Tahoma" w:cs="Tahoma"/>
        </w:rPr>
      </w:pPr>
    </w:p>
    <w:p w14:paraId="5C6A321F" w14:textId="6196B0C2" w:rsidR="003E36A0" w:rsidRDefault="008D1807" w:rsidP="008D1807">
      <w:pPr>
        <w:spacing w:after="0"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Verticalização da cadeia de distribuição de combustíveis</w:t>
      </w:r>
    </w:p>
    <w:p w14:paraId="69322149" w14:textId="2D78B8A9" w:rsidR="008D1807" w:rsidRDefault="00751A48" w:rsidP="008D1807">
      <w:pPr>
        <w:spacing w:after="0" w:line="360" w:lineRule="auto"/>
        <w:jc w:val="center"/>
        <w:rPr>
          <w:rFonts w:ascii="Tahoma" w:hAnsi="Tahoma" w:cs="Tahoma"/>
        </w:rPr>
      </w:pPr>
      <w:bookmarkStart w:id="0" w:name="_GoBack"/>
      <w:bookmarkEnd w:id="0"/>
      <w:r>
        <w:rPr>
          <w:rFonts w:ascii="Tahoma" w:hAnsi="Tahoma" w:cs="Tahoma"/>
        </w:rPr>
        <w:t>Novembro</w:t>
      </w:r>
      <w:r w:rsidR="008D1807">
        <w:rPr>
          <w:rFonts w:ascii="Tahoma" w:hAnsi="Tahoma" w:cs="Tahoma"/>
        </w:rPr>
        <w:t>/2018</w:t>
      </w:r>
    </w:p>
    <w:p w14:paraId="16B1A14B" w14:textId="37857C2F" w:rsidR="008D1807" w:rsidRDefault="008D1807" w:rsidP="008D1807">
      <w:pPr>
        <w:spacing w:after="0" w:line="360" w:lineRule="auto"/>
        <w:rPr>
          <w:rFonts w:ascii="Tahoma" w:hAnsi="Tahoma" w:cs="Tahoma"/>
        </w:rPr>
      </w:pPr>
    </w:p>
    <w:p w14:paraId="292184D4" w14:textId="3753CE4A" w:rsidR="00DA28A0" w:rsidRPr="000F3B75" w:rsidRDefault="00DA28A0" w:rsidP="00DA28A0">
      <w:pPr>
        <w:spacing w:after="0" w:line="360" w:lineRule="auto"/>
        <w:ind w:firstLine="708"/>
        <w:jc w:val="both"/>
        <w:rPr>
          <w:rFonts w:ascii="Tahoma" w:hAnsi="Tahoma" w:cs="Tahoma"/>
        </w:rPr>
      </w:pPr>
      <w:r w:rsidRPr="000F3B75">
        <w:rPr>
          <w:rFonts w:ascii="Tahoma" w:hAnsi="Tahoma" w:cs="Tahoma"/>
        </w:rPr>
        <w:t xml:space="preserve">Em 20 de setembro de 2018, foi publicado no Diário Oficial da União (DOU) o aviso da Tomada Pública de Contribuições nº 03/2018 da Agência Nacional de Petróleo, Gás Natural e Biocombustíveis (ANP) (TPC nº 03/2018), convidando a sociedade a apresentar contribuições, dados e informações sobre a </w:t>
      </w:r>
      <w:r w:rsidR="00632CA1" w:rsidRPr="000F3B75">
        <w:rPr>
          <w:rFonts w:ascii="Tahoma" w:hAnsi="Tahoma" w:cs="Tahoma"/>
        </w:rPr>
        <w:t>verticalização</w:t>
      </w:r>
      <w:r w:rsidR="00FC235D" w:rsidRPr="000F3B75">
        <w:rPr>
          <w:rFonts w:ascii="Tahoma" w:hAnsi="Tahoma" w:cs="Tahoma"/>
        </w:rPr>
        <w:t xml:space="preserve"> da cadeia de distribuição de combustíveis</w:t>
      </w:r>
      <w:r w:rsidRPr="000F3B75">
        <w:rPr>
          <w:rFonts w:ascii="Tahoma" w:hAnsi="Tahoma" w:cs="Tahoma"/>
        </w:rPr>
        <w:t xml:space="preserve">. </w:t>
      </w:r>
    </w:p>
    <w:p w14:paraId="3AE651E0" w14:textId="251DAF7F" w:rsidR="00530B1F" w:rsidRDefault="004A1993" w:rsidP="00530B1F">
      <w:pPr>
        <w:spacing w:after="0" w:line="360" w:lineRule="auto"/>
        <w:ind w:firstLine="708"/>
        <w:jc w:val="both"/>
        <w:rPr>
          <w:rFonts w:ascii="Tahoma" w:hAnsi="Tahoma" w:cs="Tahoma"/>
        </w:rPr>
      </w:pPr>
      <w:r w:rsidRPr="000F3B75">
        <w:rPr>
          <w:rFonts w:ascii="Tahoma" w:hAnsi="Tahoma" w:cs="Tahoma"/>
        </w:rPr>
        <w:t>A iniciativa insere-se no contexto de medidas regulatórias adotadas após a greve dos caminhoneiros em maio de 2018. Insere-se, também, no bojo das discussões do Grupo de Trabalho (GT) entre o Conselho Administrativo de Defesa Econômica (</w:t>
      </w:r>
      <w:r w:rsidR="00576894">
        <w:rPr>
          <w:rFonts w:ascii="Tahoma" w:hAnsi="Tahoma" w:cs="Tahoma"/>
        </w:rPr>
        <w:t>CADE</w:t>
      </w:r>
      <w:r w:rsidRPr="000F3B75">
        <w:rPr>
          <w:rFonts w:ascii="Tahoma" w:hAnsi="Tahoma" w:cs="Tahoma"/>
        </w:rPr>
        <w:t xml:space="preserve">) e a ANP, criado em junho de 2018, com o objetivo de estudar a estrutura do mercado de combustíveis e avaliar medidas regulatórias pró-concorrenciais ao setor. </w:t>
      </w:r>
    </w:p>
    <w:p w14:paraId="411EBB9A" w14:textId="7858A8C2" w:rsidR="004A1993" w:rsidRPr="000F3B75" w:rsidRDefault="004A1993" w:rsidP="004A1993">
      <w:pPr>
        <w:spacing w:after="0" w:line="360" w:lineRule="auto"/>
        <w:ind w:firstLine="708"/>
        <w:jc w:val="both"/>
        <w:rPr>
          <w:rFonts w:ascii="Tahoma" w:hAnsi="Tahoma" w:cs="Tahoma"/>
        </w:rPr>
      </w:pPr>
      <w:r w:rsidRPr="000F3B75">
        <w:rPr>
          <w:rFonts w:ascii="Tahoma" w:hAnsi="Tahoma" w:cs="Tahoma"/>
        </w:rPr>
        <w:t xml:space="preserve">Desde a instituição do GT, diversas </w:t>
      </w:r>
      <w:r w:rsidR="00530B1F">
        <w:rPr>
          <w:rFonts w:ascii="Tahoma" w:hAnsi="Tahoma" w:cs="Tahoma"/>
        </w:rPr>
        <w:t xml:space="preserve">outras </w:t>
      </w:r>
      <w:r w:rsidRPr="000F3B75">
        <w:rPr>
          <w:rFonts w:ascii="Tahoma" w:hAnsi="Tahoma" w:cs="Tahoma"/>
        </w:rPr>
        <w:t xml:space="preserve">Consultas e TPCs foram abertas pela ANP tangenciando as propostas regulatórias apresentadas ao longo do ano. Citam-se como exemplos a Consulta Pública nº 20/2018, por meio da qual foi apresentada minuta de resolução dispondo sobre a transparência de preços e fórmulas no setor de combustíveis, e a Tomada Pública de Contribuições nº 02/2018, em que foi discutida a possibilidade de venda direta de etanol pelas usinas aos pontos revendedores varejistas. </w:t>
      </w:r>
      <w:r w:rsidR="003D370F">
        <w:rPr>
          <w:rFonts w:ascii="Tahoma" w:hAnsi="Tahoma" w:cs="Tahoma"/>
        </w:rPr>
        <w:t xml:space="preserve">Concomitantemente a esta tomada púbica, também está em curso outra (TPC nº 04/2018), </w:t>
      </w:r>
      <w:r w:rsidR="00D57F88">
        <w:rPr>
          <w:rFonts w:ascii="Tahoma" w:hAnsi="Tahoma" w:cs="Tahoma"/>
        </w:rPr>
        <w:t xml:space="preserve">que </w:t>
      </w:r>
      <w:r w:rsidR="00D57F88" w:rsidRPr="001271C0">
        <w:rPr>
          <w:rFonts w:ascii="Tahoma" w:hAnsi="Tahoma" w:cs="Tahoma"/>
        </w:rPr>
        <w:t>abriu prazo para contribuições sobre a elaboração de um ato normativo que determinasse o “</w:t>
      </w:r>
      <w:r w:rsidR="00D57F88" w:rsidRPr="001271C0">
        <w:rPr>
          <w:rFonts w:ascii="Tahoma" w:hAnsi="Tahoma" w:cs="Tahoma"/>
          <w:i/>
          <w:iCs/>
        </w:rPr>
        <w:t>fim da tutela regulatória da fidelidade à bandeira</w:t>
      </w:r>
      <w:r w:rsidR="00D57F88" w:rsidRPr="001271C0">
        <w:rPr>
          <w:rFonts w:ascii="Tahoma" w:hAnsi="Tahoma" w:cs="Tahoma"/>
        </w:rPr>
        <w:t>”.</w:t>
      </w:r>
    </w:p>
    <w:p w14:paraId="54516058" w14:textId="5DC875ED" w:rsidR="00807CD4" w:rsidRDefault="00576894" w:rsidP="004A1993">
      <w:pPr>
        <w:spacing w:after="0" w:line="360" w:lineRule="auto"/>
        <w:ind w:firstLine="708"/>
        <w:jc w:val="both"/>
        <w:rPr>
          <w:rFonts w:ascii="Tahoma" w:hAnsi="Tahoma" w:cs="Tahoma"/>
        </w:rPr>
      </w:pPr>
      <w:r w:rsidRPr="00BC594B">
        <w:rPr>
          <w:rFonts w:ascii="Tahoma" w:hAnsi="Tahoma" w:cs="Tahoma"/>
        </w:rPr>
        <w:t>Dessa forma, o presente documento tem por objetivo apresentar, da perspectiva concorrencial, algumas considerações para o debate sobre verticalização</w:t>
      </w:r>
      <w:r w:rsidRPr="00576894">
        <w:rPr>
          <w:rFonts w:ascii="Tahoma" w:hAnsi="Tahoma" w:cs="Tahoma"/>
        </w:rPr>
        <w:t xml:space="preserve"> da cadeia de distribuição de combustíveis</w:t>
      </w:r>
      <w:r w:rsidRPr="00BC594B">
        <w:rPr>
          <w:rFonts w:ascii="Tahoma" w:hAnsi="Tahoma" w:cs="Tahoma"/>
        </w:rPr>
        <w:t xml:space="preserve"> identificad</w:t>
      </w:r>
      <w:r w:rsidR="00EC1799">
        <w:rPr>
          <w:rFonts w:ascii="Tahoma" w:hAnsi="Tahoma" w:cs="Tahoma"/>
        </w:rPr>
        <w:t>a</w:t>
      </w:r>
      <w:r w:rsidRPr="00BC594B">
        <w:rPr>
          <w:rFonts w:ascii="Tahoma" w:hAnsi="Tahoma" w:cs="Tahoma"/>
        </w:rPr>
        <w:t xml:space="preserve">s pela </w:t>
      </w:r>
      <w:r w:rsidRPr="00BC594B">
        <w:rPr>
          <w:rFonts w:ascii="Tahoma" w:hAnsi="Tahoma" w:cs="Tahoma"/>
          <w:b/>
        </w:rPr>
        <w:t>Shell Brasil Petróleo Ltda. (“Shell”)</w:t>
      </w:r>
      <w:r w:rsidRPr="00BC594B">
        <w:rPr>
          <w:rFonts w:ascii="Tahoma" w:hAnsi="Tahoma" w:cs="Tahoma"/>
        </w:rPr>
        <w:t xml:space="preserve">, que devem ser ponderados em qualquer discussão que se volte à alteração das normas regulatórias atualmente vigentes. Ressalta-se que o presente texto reflete restritamente a opinião da </w:t>
      </w:r>
      <w:r w:rsidRPr="00BC594B">
        <w:rPr>
          <w:rFonts w:ascii="Tahoma" w:hAnsi="Tahoma" w:cs="Tahoma"/>
          <w:b/>
        </w:rPr>
        <w:t>Shell</w:t>
      </w:r>
      <w:r w:rsidRPr="00BC594B">
        <w:rPr>
          <w:rFonts w:ascii="Tahoma" w:hAnsi="Tahoma" w:cs="Tahoma"/>
        </w:rPr>
        <w:t>, sendo desautorizada qualquer interpretação ou entendimento em sentido diverso.</w:t>
      </w:r>
    </w:p>
    <w:p w14:paraId="6E60E7ED" w14:textId="77777777" w:rsidR="00EC1799" w:rsidRPr="000F3B75" w:rsidRDefault="00EC1799" w:rsidP="004A1993">
      <w:pPr>
        <w:spacing w:after="0" w:line="360" w:lineRule="auto"/>
        <w:ind w:firstLine="708"/>
        <w:jc w:val="both"/>
        <w:rPr>
          <w:rFonts w:ascii="Tahoma" w:hAnsi="Tahoma" w:cs="Tahoma"/>
        </w:rPr>
      </w:pPr>
    </w:p>
    <w:p w14:paraId="16F9EAEC" w14:textId="0DEAA1EE" w:rsidR="008D1807" w:rsidRDefault="00984BC0" w:rsidP="008D1807">
      <w:pPr>
        <w:spacing w:after="0" w:line="360" w:lineRule="auto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DA </w:t>
      </w:r>
      <w:r w:rsidR="00A64701">
        <w:rPr>
          <w:rFonts w:ascii="Tahoma" w:hAnsi="Tahoma" w:cs="Tahoma"/>
          <w:b/>
        </w:rPr>
        <w:t xml:space="preserve">INTRODUÇÃO </w:t>
      </w:r>
    </w:p>
    <w:p w14:paraId="6B6287B5" w14:textId="19F8070C" w:rsidR="005366D0" w:rsidRDefault="00BF56A6" w:rsidP="005573AA">
      <w:pPr>
        <w:spacing w:after="0"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ab/>
      </w:r>
      <w:r w:rsidR="001D5F33">
        <w:rPr>
          <w:rFonts w:ascii="Tahoma" w:hAnsi="Tahoma" w:cs="Tahoma"/>
        </w:rPr>
        <w:t xml:space="preserve">No Brasil, </w:t>
      </w:r>
      <w:r w:rsidR="0031677C">
        <w:rPr>
          <w:rFonts w:ascii="Tahoma" w:hAnsi="Tahoma" w:cs="Tahoma"/>
        </w:rPr>
        <w:t>distribuidoras</w:t>
      </w:r>
      <w:r w:rsidR="00BD350C">
        <w:rPr>
          <w:rFonts w:ascii="Tahoma" w:hAnsi="Tahoma" w:cs="Tahoma"/>
        </w:rPr>
        <w:t xml:space="preserve"> de combustíveis são proibidas de possuírem </w:t>
      </w:r>
      <w:r w:rsidR="0031677C">
        <w:rPr>
          <w:rFonts w:ascii="Tahoma" w:hAnsi="Tahoma" w:cs="Tahoma"/>
        </w:rPr>
        <w:t>postos revendedores de combustíveis</w:t>
      </w:r>
      <w:r w:rsidR="008C5B17">
        <w:rPr>
          <w:rFonts w:ascii="Tahoma" w:hAnsi="Tahoma" w:cs="Tahoma"/>
        </w:rPr>
        <w:t xml:space="preserve"> automotivos</w:t>
      </w:r>
      <w:r w:rsidR="003E1075">
        <w:rPr>
          <w:rFonts w:ascii="Tahoma" w:hAnsi="Tahoma" w:cs="Tahoma"/>
        </w:rPr>
        <w:t xml:space="preserve">. </w:t>
      </w:r>
      <w:r w:rsidR="005366D0">
        <w:rPr>
          <w:rFonts w:ascii="Tahoma" w:hAnsi="Tahoma" w:cs="Tahoma"/>
        </w:rPr>
        <w:t>Por meio da Resolução nº 41/2013 (alterada pela</w:t>
      </w:r>
      <w:r w:rsidR="00646318">
        <w:rPr>
          <w:rFonts w:ascii="Tahoma" w:hAnsi="Tahoma" w:cs="Tahoma"/>
        </w:rPr>
        <w:t>s</w:t>
      </w:r>
      <w:r w:rsidR="005366D0">
        <w:rPr>
          <w:rFonts w:ascii="Tahoma" w:hAnsi="Tahoma" w:cs="Tahoma"/>
        </w:rPr>
        <w:t xml:space="preserve"> Resoluç</w:t>
      </w:r>
      <w:r w:rsidR="00646318">
        <w:rPr>
          <w:rFonts w:ascii="Tahoma" w:hAnsi="Tahoma" w:cs="Tahoma"/>
        </w:rPr>
        <w:t>ões</w:t>
      </w:r>
      <w:r w:rsidR="005366D0">
        <w:rPr>
          <w:rFonts w:ascii="Tahoma" w:hAnsi="Tahoma" w:cs="Tahoma"/>
        </w:rPr>
        <w:t xml:space="preserve"> ANP nº 57/2014</w:t>
      </w:r>
      <w:r w:rsidR="00646318">
        <w:rPr>
          <w:rFonts w:ascii="Tahoma" w:hAnsi="Tahoma" w:cs="Tahoma"/>
        </w:rPr>
        <w:t xml:space="preserve"> e </w:t>
      </w:r>
      <w:r w:rsidR="00653BBD">
        <w:rPr>
          <w:rFonts w:ascii="Tahoma" w:hAnsi="Tahoma" w:cs="Tahoma"/>
        </w:rPr>
        <w:t>nº 09/2016</w:t>
      </w:r>
      <w:r w:rsidR="005366D0">
        <w:rPr>
          <w:rFonts w:ascii="Tahoma" w:hAnsi="Tahoma" w:cs="Tahoma"/>
        </w:rPr>
        <w:t>), que regulamenta a revenda varejista de combustíveis automotivos, estipula-se que, além da vedação ao exercício da atividade de revenda</w:t>
      </w:r>
      <w:r w:rsidR="007551DB">
        <w:rPr>
          <w:rFonts w:ascii="Tahoma" w:hAnsi="Tahoma" w:cs="Tahoma"/>
        </w:rPr>
        <w:t xml:space="preserve"> por distribuidores</w:t>
      </w:r>
      <w:r w:rsidR="005366D0">
        <w:rPr>
          <w:rFonts w:ascii="Tahoma" w:hAnsi="Tahoma" w:cs="Tahoma"/>
        </w:rPr>
        <w:t>, o distribuidor de combustíveis também não pode participar do quadro de sócios dos revendedores varejistas de combustíveis automotivos autorizados pela ANP, com exceção dos postos escola.</w:t>
      </w:r>
      <w:r w:rsidR="005366D0">
        <w:rPr>
          <w:rStyle w:val="FootnoteReference"/>
          <w:rFonts w:ascii="Tahoma" w:hAnsi="Tahoma" w:cs="Tahoma"/>
        </w:rPr>
        <w:footnoteReference w:id="2"/>
      </w:r>
      <w:r w:rsidR="005366D0">
        <w:rPr>
          <w:rFonts w:ascii="Tahoma" w:hAnsi="Tahoma" w:cs="Tahoma"/>
        </w:rPr>
        <w:t xml:space="preserve">  </w:t>
      </w:r>
    </w:p>
    <w:p w14:paraId="2A446527" w14:textId="203629F3" w:rsidR="002B0F24" w:rsidRPr="002B0F24" w:rsidRDefault="0022671D" w:rsidP="005573AA">
      <w:pPr>
        <w:spacing w:after="0" w:line="360" w:lineRule="auto"/>
        <w:ind w:firstLine="7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No mesmo sentido, a </w:t>
      </w:r>
      <w:r w:rsidR="00603677">
        <w:rPr>
          <w:rFonts w:ascii="Tahoma" w:hAnsi="Tahoma" w:cs="Tahoma"/>
        </w:rPr>
        <w:t xml:space="preserve">Resolução nº </w:t>
      </w:r>
      <w:r w:rsidR="004D6ACC">
        <w:rPr>
          <w:rFonts w:ascii="Tahoma" w:hAnsi="Tahoma" w:cs="Tahoma"/>
        </w:rPr>
        <w:t>58</w:t>
      </w:r>
      <w:r w:rsidR="00603677">
        <w:rPr>
          <w:rFonts w:ascii="Tahoma" w:hAnsi="Tahoma" w:cs="Tahoma"/>
        </w:rPr>
        <w:t>/201</w:t>
      </w:r>
      <w:r w:rsidR="007335B8">
        <w:rPr>
          <w:rFonts w:ascii="Tahoma" w:hAnsi="Tahoma" w:cs="Tahoma"/>
        </w:rPr>
        <w:t>4</w:t>
      </w:r>
      <w:r w:rsidR="00603677">
        <w:rPr>
          <w:rFonts w:ascii="Tahoma" w:hAnsi="Tahoma" w:cs="Tahoma"/>
        </w:rPr>
        <w:t xml:space="preserve">, que </w:t>
      </w:r>
      <w:r w:rsidR="007335B8">
        <w:rPr>
          <w:rFonts w:ascii="Tahoma" w:hAnsi="Tahoma" w:cs="Tahoma"/>
        </w:rPr>
        <w:t xml:space="preserve">regulamenta </w:t>
      </w:r>
      <w:r w:rsidR="00386FB9">
        <w:rPr>
          <w:rFonts w:ascii="Tahoma" w:hAnsi="Tahoma" w:cs="Tahoma"/>
        </w:rPr>
        <w:t>o exercício da</w:t>
      </w:r>
      <w:r w:rsidR="007335B8">
        <w:rPr>
          <w:rFonts w:ascii="Tahoma" w:hAnsi="Tahoma" w:cs="Tahoma"/>
        </w:rPr>
        <w:t xml:space="preserve"> atividade de distribuição de combustíveis líquidos </w:t>
      </w:r>
      <w:r w:rsidR="00C725C8">
        <w:rPr>
          <w:rFonts w:ascii="Tahoma" w:hAnsi="Tahoma" w:cs="Tahoma"/>
        </w:rPr>
        <w:t>veda</w:t>
      </w:r>
      <w:r w:rsidR="004A2CB6">
        <w:rPr>
          <w:rFonts w:ascii="Tahoma" w:hAnsi="Tahoma" w:cs="Tahoma"/>
        </w:rPr>
        <w:t xml:space="preserve">, </w:t>
      </w:r>
      <w:r w:rsidR="00C725C8">
        <w:rPr>
          <w:rFonts w:ascii="Tahoma" w:hAnsi="Tahoma" w:cs="Tahoma"/>
        </w:rPr>
        <w:t>por meio de</w:t>
      </w:r>
      <w:r w:rsidR="008D0239">
        <w:rPr>
          <w:rFonts w:ascii="Tahoma" w:hAnsi="Tahoma" w:cs="Tahoma"/>
        </w:rPr>
        <w:t xml:space="preserve"> seu</w:t>
      </w:r>
      <w:r w:rsidR="004A2CB6">
        <w:rPr>
          <w:rFonts w:ascii="Tahoma" w:hAnsi="Tahoma" w:cs="Tahoma"/>
        </w:rPr>
        <w:t xml:space="preserve"> artigo </w:t>
      </w:r>
      <w:r w:rsidR="00C725C8">
        <w:rPr>
          <w:rFonts w:ascii="Tahoma" w:hAnsi="Tahoma" w:cs="Tahoma"/>
        </w:rPr>
        <w:t>33</w:t>
      </w:r>
      <w:r w:rsidR="004A2CB6">
        <w:rPr>
          <w:rFonts w:ascii="Tahoma" w:hAnsi="Tahoma" w:cs="Tahoma"/>
        </w:rPr>
        <w:t xml:space="preserve">, </w:t>
      </w:r>
      <w:r w:rsidR="003E1075">
        <w:rPr>
          <w:rFonts w:ascii="Tahoma" w:hAnsi="Tahoma" w:cs="Tahoma"/>
        </w:rPr>
        <w:t>que</w:t>
      </w:r>
      <w:r w:rsidR="00692CE5">
        <w:rPr>
          <w:rFonts w:ascii="Tahoma" w:hAnsi="Tahoma" w:cs="Tahoma"/>
        </w:rPr>
        <w:t xml:space="preserve"> o distribuidor de combustíveis líquidos exerça a</w:t>
      </w:r>
      <w:r w:rsidR="00DE53A0">
        <w:rPr>
          <w:rFonts w:ascii="Tahoma" w:hAnsi="Tahoma" w:cs="Tahoma"/>
        </w:rPr>
        <w:t xml:space="preserve"> atividade de transportador </w:t>
      </w:r>
      <w:r w:rsidR="00AA2E3D">
        <w:rPr>
          <w:rFonts w:ascii="Tahoma" w:hAnsi="Tahoma" w:cs="Tahoma"/>
        </w:rPr>
        <w:t xml:space="preserve">revendedor </w:t>
      </w:r>
      <w:r w:rsidR="00DE53A0">
        <w:rPr>
          <w:rFonts w:ascii="Tahoma" w:hAnsi="Tahoma" w:cs="Tahoma"/>
        </w:rPr>
        <w:t xml:space="preserve">retalhista </w:t>
      </w:r>
      <w:r w:rsidR="00AA2E3D">
        <w:rPr>
          <w:rFonts w:ascii="Tahoma" w:hAnsi="Tahoma" w:cs="Tahoma"/>
        </w:rPr>
        <w:t xml:space="preserve">(TRR) </w:t>
      </w:r>
      <w:r w:rsidR="00DE53A0">
        <w:rPr>
          <w:rFonts w:ascii="Tahoma" w:hAnsi="Tahoma" w:cs="Tahoma"/>
        </w:rPr>
        <w:t>e de revenda varejista de combustíveis automotivos.</w:t>
      </w:r>
      <w:r w:rsidR="00DE53A0">
        <w:rPr>
          <w:rStyle w:val="FootnoteReference"/>
          <w:rFonts w:ascii="Tahoma" w:hAnsi="Tahoma" w:cs="Tahoma"/>
        </w:rPr>
        <w:footnoteReference w:id="3"/>
      </w:r>
      <w:r w:rsidR="002B0F24">
        <w:rPr>
          <w:rFonts w:ascii="Tahoma" w:hAnsi="Tahoma" w:cs="Tahoma"/>
        </w:rPr>
        <w:t xml:space="preserve"> A mesma Resolução prevê</w:t>
      </w:r>
      <w:r w:rsidR="004D301F">
        <w:rPr>
          <w:rFonts w:ascii="Tahoma" w:hAnsi="Tahoma" w:cs="Tahoma"/>
        </w:rPr>
        <w:t xml:space="preserve">, ainda, </w:t>
      </w:r>
      <w:r w:rsidR="002B0F24">
        <w:rPr>
          <w:rFonts w:ascii="Tahoma" w:hAnsi="Tahoma" w:cs="Tahoma"/>
        </w:rPr>
        <w:t>que</w:t>
      </w:r>
      <w:r w:rsidR="001D2323">
        <w:rPr>
          <w:rFonts w:ascii="Tahoma" w:hAnsi="Tahoma" w:cs="Tahoma"/>
        </w:rPr>
        <w:t xml:space="preserve"> </w:t>
      </w:r>
      <w:r w:rsidR="002B0F24" w:rsidRPr="002B0F24">
        <w:rPr>
          <w:rFonts w:ascii="Tahoma" w:hAnsi="Tahoma" w:cs="Tahoma"/>
        </w:rPr>
        <w:t>não ser</w:t>
      </w:r>
      <w:r w:rsidR="00036108">
        <w:rPr>
          <w:rFonts w:ascii="Tahoma" w:hAnsi="Tahoma" w:cs="Tahoma"/>
        </w:rPr>
        <w:t>ão</w:t>
      </w:r>
      <w:r w:rsidR="002B0F24" w:rsidRPr="002B0F24">
        <w:rPr>
          <w:rFonts w:ascii="Tahoma" w:hAnsi="Tahoma" w:cs="Tahoma"/>
        </w:rPr>
        <w:t xml:space="preserve"> autorizada</w:t>
      </w:r>
      <w:r w:rsidR="00036108">
        <w:rPr>
          <w:rFonts w:ascii="Tahoma" w:hAnsi="Tahoma" w:cs="Tahoma"/>
        </w:rPr>
        <w:t>s</w:t>
      </w:r>
      <w:r w:rsidR="002B0F24" w:rsidRPr="002B0F24">
        <w:rPr>
          <w:rFonts w:ascii="Tahoma" w:hAnsi="Tahoma" w:cs="Tahoma"/>
        </w:rPr>
        <w:t xml:space="preserve"> para o exercício da atividade de distribuição as empresas de cujo quadro de sócios participe pessoa jurídica que seja autorizada pela ANP à atividade de TRR (Transportador-Revendedor-Retalhista), TRRNI (Transportador-Revendedor-Retalhista na Navegação Interior) ou de revenda varejista de combustíveis automotivos.</w:t>
      </w:r>
      <w:r w:rsidR="00562255">
        <w:rPr>
          <w:rStyle w:val="FootnoteReference"/>
          <w:rFonts w:ascii="Tahoma" w:hAnsi="Tahoma" w:cs="Tahoma"/>
        </w:rPr>
        <w:footnoteReference w:id="4"/>
      </w:r>
    </w:p>
    <w:p w14:paraId="5F8D2849" w14:textId="2A47502B" w:rsidR="003441A3" w:rsidRDefault="003441A3" w:rsidP="00F5691F">
      <w:pPr>
        <w:spacing w:after="0"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 xml:space="preserve">A </w:t>
      </w:r>
      <w:r w:rsidR="00043EBF">
        <w:rPr>
          <w:rFonts w:ascii="Tahoma" w:hAnsi="Tahoma" w:cs="Tahoma"/>
        </w:rPr>
        <w:t xml:space="preserve">regulação vigente, portanto, nega </w:t>
      </w:r>
      <w:r w:rsidR="0036749E">
        <w:rPr>
          <w:rFonts w:ascii="Tahoma" w:hAnsi="Tahoma" w:cs="Tahoma"/>
        </w:rPr>
        <w:t>a</w:t>
      </w:r>
      <w:r w:rsidR="00043EBF">
        <w:rPr>
          <w:rFonts w:ascii="Tahoma" w:hAnsi="Tahoma" w:cs="Tahoma"/>
        </w:rPr>
        <w:t xml:space="preserve"> integração vertical entre </w:t>
      </w:r>
      <w:r w:rsidR="005A147F">
        <w:rPr>
          <w:rFonts w:ascii="Tahoma" w:hAnsi="Tahoma" w:cs="Tahoma"/>
        </w:rPr>
        <w:t xml:space="preserve">o elo da distribuição e da revenda de combustíveis. </w:t>
      </w:r>
      <w:r w:rsidR="00F031D0">
        <w:rPr>
          <w:rFonts w:ascii="Tahoma" w:hAnsi="Tahoma" w:cs="Tahoma"/>
        </w:rPr>
        <w:t>Não obstante, o</w:t>
      </w:r>
      <w:r w:rsidR="003531AD">
        <w:rPr>
          <w:rFonts w:ascii="Tahoma" w:hAnsi="Tahoma" w:cs="Tahoma"/>
        </w:rPr>
        <w:t>utros tipos de integração encontram respaldo nas normas atualmente vigentes, como os contratos de exclusi</w:t>
      </w:r>
      <w:r w:rsidR="00E5249D">
        <w:rPr>
          <w:rFonts w:ascii="Tahoma" w:hAnsi="Tahoma" w:cs="Tahoma"/>
        </w:rPr>
        <w:t xml:space="preserve">vidade entre distribuidoras e postos </w:t>
      </w:r>
      <w:r w:rsidR="005831FE">
        <w:rPr>
          <w:rFonts w:ascii="Tahoma" w:hAnsi="Tahoma" w:cs="Tahoma"/>
        </w:rPr>
        <w:t xml:space="preserve">que ostentam marca comercial </w:t>
      </w:r>
      <w:r w:rsidR="00BE24F2">
        <w:rPr>
          <w:rFonts w:ascii="Tahoma" w:hAnsi="Tahoma" w:cs="Tahoma"/>
        </w:rPr>
        <w:t>de uma distribuidora</w:t>
      </w:r>
      <w:r w:rsidR="0036749E">
        <w:rPr>
          <w:rFonts w:ascii="Tahoma" w:hAnsi="Tahoma" w:cs="Tahoma"/>
        </w:rPr>
        <w:t xml:space="preserve"> </w:t>
      </w:r>
      <w:r w:rsidR="00062DCB">
        <w:rPr>
          <w:rFonts w:ascii="Tahoma" w:hAnsi="Tahoma" w:cs="Tahoma"/>
        </w:rPr>
        <w:t>(</w:t>
      </w:r>
      <w:r w:rsidR="007E579D">
        <w:rPr>
          <w:rFonts w:ascii="Tahoma" w:hAnsi="Tahoma" w:cs="Tahoma"/>
        </w:rPr>
        <w:t xml:space="preserve">Resolução ANP </w:t>
      </w:r>
      <w:r w:rsidR="003C2607">
        <w:rPr>
          <w:rFonts w:ascii="Tahoma" w:hAnsi="Tahoma" w:cs="Tahoma"/>
        </w:rPr>
        <w:t xml:space="preserve">nº </w:t>
      </w:r>
      <w:r w:rsidR="007E579D">
        <w:rPr>
          <w:rFonts w:ascii="Tahoma" w:hAnsi="Tahoma" w:cs="Tahoma"/>
        </w:rPr>
        <w:t>41</w:t>
      </w:r>
      <w:r w:rsidR="003C2607">
        <w:rPr>
          <w:rFonts w:ascii="Tahoma" w:hAnsi="Tahoma" w:cs="Tahoma"/>
        </w:rPr>
        <w:t>/</w:t>
      </w:r>
      <w:r w:rsidR="007E579D">
        <w:rPr>
          <w:rFonts w:ascii="Tahoma" w:hAnsi="Tahoma" w:cs="Tahoma"/>
        </w:rPr>
        <w:t>2013</w:t>
      </w:r>
      <w:r w:rsidR="00D83851">
        <w:rPr>
          <w:rFonts w:ascii="Tahoma" w:hAnsi="Tahoma" w:cs="Tahoma"/>
        </w:rPr>
        <w:t xml:space="preserve">, </w:t>
      </w:r>
      <w:r w:rsidR="008D356B">
        <w:rPr>
          <w:rFonts w:ascii="Tahoma" w:hAnsi="Tahoma" w:cs="Tahoma"/>
        </w:rPr>
        <w:t xml:space="preserve">art. </w:t>
      </w:r>
      <w:r w:rsidR="007E579D">
        <w:rPr>
          <w:rFonts w:ascii="Tahoma" w:hAnsi="Tahoma" w:cs="Tahoma"/>
        </w:rPr>
        <w:t>25</w:t>
      </w:r>
      <w:r w:rsidR="008D356B">
        <w:rPr>
          <w:rFonts w:ascii="Tahoma" w:hAnsi="Tahoma" w:cs="Tahoma"/>
        </w:rPr>
        <w:t xml:space="preserve">). </w:t>
      </w:r>
    </w:p>
    <w:p w14:paraId="7BCF3659" w14:textId="09077AE9" w:rsidR="00190399" w:rsidRDefault="00190399" w:rsidP="00F4544C">
      <w:pPr>
        <w:spacing w:after="0"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r w:rsidR="00B94C2F">
        <w:rPr>
          <w:rFonts w:ascii="Tahoma" w:hAnsi="Tahoma" w:cs="Tahoma"/>
        </w:rPr>
        <w:t>Além d</w:t>
      </w:r>
      <w:r w:rsidR="007527B1">
        <w:rPr>
          <w:rFonts w:ascii="Tahoma" w:hAnsi="Tahoma" w:cs="Tahoma"/>
        </w:rPr>
        <w:t>esta</w:t>
      </w:r>
      <w:r w:rsidR="00B94C2F">
        <w:rPr>
          <w:rFonts w:ascii="Tahoma" w:hAnsi="Tahoma" w:cs="Tahoma"/>
        </w:rPr>
        <w:t xml:space="preserve"> vedação </w:t>
      </w:r>
      <w:r w:rsidR="00893B8A">
        <w:rPr>
          <w:rFonts w:ascii="Tahoma" w:hAnsi="Tahoma" w:cs="Tahoma"/>
        </w:rPr>
        <w:t>à</w:t>
      </w:r>
      <w:r w:rsidR="00B94C2F">
        <w:rPr>
          <w:rFonts w:ascii="Tahoma" w:hAnsi="Tahoma" w:cs="Tahoma"/>
        </w:rPr>
        <w:t xml:space="preserve"> integração vertical, a </w:t>
      </w:r>
      <w:r w:rsidR="004D301F">
        <w:rPr>
          <w:rFonts w:ascii="Tahoma" w:hAnsi="Tahoma" w:cs="Tahoma"/>
        </w:rPr>
        <w:t>regulação atual</w:t>
      </w:r>
      <w:r w:rsidR="00B94C2F">
        <w:rPr>
          <w:rFonts w:ascii="Tahoma" w:hAnsi="Tahoma" w:cs="Tahoma"/>
        </w:rPr>
        <w:t xml:space="preserve"> também limita uma série de relações </w:t>
      </w:r>
      <w:r w:rsidR="0075119C">
        <w:rPr>
          <w:rFonts w:ascii="Tahoma" w:hAnsi="Tahoma" w:cs="Tahoma"/>
        </w:rPr>
        <w:t xml:space="preserve">entre diferentes elos da cadeia de combustíveis e a revenda. </w:t>
      </w:r>
      <w:r w:rsidR="001F1BA6">
        <w:rPr>
          <w:rFonts w:ascii="Tahoma" w:hAnsi="Tahoma" w:cs="Tahoma"/>
        </w:rPr>
        <w:t xml:space="preserve">Destacam-se a </w:t>
      </w:r>
      <w:r w:rsidR="007527B1">
        <w:rPr>
          <w:rFonts w:ascii="Tahoma" w:hAnsi="Tahoma" w:cs="Tahoma"/>
        </w:rPr>
        <w:t>proibição</w:t>
      </w:r>
      <w:r w:rsidR="001F1BA6">
        <w:rPr>
          <w:rFonts w:ascii="Tahoma" w:hAnsi="Tahoma" w:cs="Tahoma"/>
        </w:rPr>
        <w:t xml:space="preserve"> de que refinadores de petróleo comercializem </w:t>
      </w:r>
      <w:r w:rsidR="00A27709">
        <w:rPr>
          <w:rFonts w:ascii="Tahoma" w:hAnsi="Tahoma" w:cs="Tahoma"/>
        </w:rPr>
        <w:t xml:space="preserve">diretamente com </w:t>
      </w:r>
      <w:r w:rsidR="00B74051">
        <w:rPr>
          <w:rFonts w:ascii="Tahoma" w:hAnsi="Tahoma" w:cs="Tahoma"/>
        </w:rPr>
        <w:t xml:space="preserve">Transportadores-Revendedores-Retalhistas (TRRs) </w:t>
      </w:r>
      <w:r w:rsidR="00580566">
        <w:rPr>
          <w:rFonts w:ascii="Tahoma" w:hAnsi="Tahoma" w:cs="Tahoma"/>
        </w:rPr>
        <w:t>e revendedores varejistas de combustíveis, inclusive postos escola</w:t>
      </w:r>
      <w:r w:rsidR="00580566">
        <w:rPr>
          <w:rStyle w:val="FootnoteReference"/>
          <w:rFonts w:ascii="Tahoma" w:hAnsi="Tahoma" w:cs="Tahoma"/>
        </w:rPr>
        <w:footnoteReference w:id="5"/>
      </w:r>
      <w:r w:rsidR="00151CED">
        <w:rPr>
          <w:rFonts w:ascii="Tahoma" w:hAnsi="Tahoma" w:cs="Tahoma"/>
        </w:rPr>
        <w:t xml:space="preserve">; a proibição </w:t>
      </w:r>
      <w:r w:rsidR="00FD257A">
        <w:rPr>
          <w:rFonts w:ascii="Tahoma" w:hAnsi="Tahoma" w:cs="Tahoma"/>
        </w:rPr>
        <w:t xml:space="preserve">de que </w:t>
      </w:r>
      <w:r w:rsidR="00BD3BFC">
        <w:rPr>
          <w:rFonts w:ascii="Tahoma" w:hAnsi="Tahoma" w:cs="Tahoma"/>
        </w:rPr>
        <w:t xml:space="preserve">fornecedores de etanol (incluindo </w:t>
      </w:r>
      <w:r w:rsidR="00FD257A">
        <w:rPr>
          <w:rFonts w:ascii="Tahoma" w:hAnsi="Tahoma" w:cs="Tahoma"/>
        </w:rPr>
        <w:t>produtores e importadores</w:t>
      </w:r>
      <w:r w:rsidR="00BD3BFC">
        <w:rPr>
          <w:rFonts w:ascii="Tahoma" w:hAnsi="Tahoma" w:cs="Tahoma"/>
        </w:rPr>
        <w:t>) exerçam a</w:t>
      </w:r>
      <w:r w:rsidR="00775A35">
        <w:rPr>
          <w:rFonts w:ascii="Tahoma" w:hAnsi="Tahoma" w:cs="Tahoma"/>
        </w:rPr>
        <w:t>s</w:t>
      </w:r>
      <w:r w:rsidR="00BD3BFC">
        <w:rPr>
          <w:rFonts w:ascii="Tahoma" w:hAnsi="Tahoma" w:cs="Tahoma"/>
        </w:rPr>
        <w:t xml:space="preserve"> atividade</w:t>
      </w:r>
      <w:r w:rsidR="00775A35">
        <w:rPr>
          <w:rFonts w:ascii="Tahoma" w:hAnsi="Tahoma" w:cs="Tahoma"/>
        </w:rPr>
        <w:t>s</w:t>
      </w:r>
      <w:r w:rsidR="00BD3BFC">
        <w:rPr>
          <w:rFonts w:ascii="Tahoma" w:hAnsi="Tahoma" w:cs="Tahoma"/>
        </w:rPr>
        <w:t xml:space="preserve"> de</w:t>
      </w:r>
      <w:r w:rsidR="00775A35">
        <w:rPr>
          <w:rFonts w:ascii="Tahoma" w:hAnsi="Tahoma" w:cs="Tahoma"/>
        </w:rPr>
        <w:t xml:space="preserve"> distribuição ou</w:t>
      </w:r>
      <w:r w:rsidR="00BD3BFC">
        <w:rPr>
          <w:rFonts w:ascii="Tahoma" w:hAnsi="Tahoma" w:cs="Tahoma"/>
        </w:rPr>
        <w:t xml:space="preserve"> revenda </w:t>
      </w:r>
      <w:r w:rsidR="00775A35">
        <w:rPr>
          <w:rFonts w:ascii="Tahoma" w:hAnsi="Tahoma" w:cs="Tahoma"/>
        </w:rPr>
        <w:t>de combustíveis</w:t>
      </w:r>
      <w:r w:rsidR="00775A35">
        <w:rPr>
          <w:rStyle w:val="FootnoteReference"/>
          <w:rFonts w:ascii="Tahoma" w:hAnsi="Tahoma" w:cs="Tahoma"/>
        </w:rPr>
        <w:footnoteReference w:id="6"/>
      </w:r>
      <w:r w:rsidR="00775A35">
        <w:rPr>
          <w:rFonts w:ascii="Tahoma" w:hAnsi="Tahoma" w:cs="Tahoma"/>
        </w:rPr>
        <w:t>;</w:t>
      </w:r>
      <w:r w:rsidR="0040089E">
        <w:rPr>
          <w:rFonts w:ascii="Tahoma" w:hAnsi="Tahoma" w:cs="Tahoma"/>
        </w:rPr>
        <w:t xml:space="preserve"> </w:t>
      </w:r>
      <w:r w:rsidR="00757B18">
        <w:rPr>
          <w:rFonts w:ascii="Tahoma" w:hAnsi="Tahoma" w:cs="Tahoma"/>
        </w:rPr>
        <w:t xml:space="preserve">a proibição de que importadores de gasolina </w:t>
      </w:r>
      <w:r w:rsidR="00E62074">
        <w:rPr>
          <w:rFonts w:ascii="Tahoma" w:hAnsi="Tahoma" w:cs="Tahoma"/>
        </w:rPr>
        <w:t xml:space="preserve">comercializem o produto </w:t>
      </w:r>
      <w:r w:rsidR="00E62074">
        <w:rPr>
          <w:rFonts w:ascii="Tahoma" w:hAnsi="Tahoma" w:cs="Tahoma"/>
        </w:rPr>
        <w:lastRenderedPageBreak/>
        <w:t>com revendedores</w:t>
      </w:r>
      <w:r w:rsidR="00E62074">
        <w:rPr>
          <w:rStyle w:val="FootnoteReference"/>
          <w:rFonts w:ascii="Tahoma" w:hAnsi="Tahoma" w:cs="Tahoma"/>
        </w:rPr>
        <w:footnoteReference w:id="7"/>
      </w:r>
      <w:r w:rsidR="00227AB0">
        <w:rPr>
          <w:rFonts w:ascii="Tahoma" w:hAnsi="Tahoma" w:cs="Tahoma"/>
        </w:rPr>
        <w:t>, além d</w:t>
      </w:r>
      <w:r w:rsidR="00DA04EA">
        <w:rPr>
          <w:rFonts w:ascii="Tahoma" w:hAnsi="Tahoma" w:cs="Tahoma"/>
        </w:rPr>
        <w:t xml:space="preserve">as limitações impostas aos </w:t>
      </w:r>
      <w:r w:rsidR="00625EAB">
        <w:rPr>
          <w:rFonts w:ascii="Tahoma" w:hAnsi="Tahoma" w:cs="Tahoma"/>
        </w:rPr>
        <w:t>Transportadores-Revendedores-Retalhistas</w:t>
      </w:r>
      <w:r w:rsidR="00625EAB">
        <w:rPr>
          <w:rStyle w:val="FootnoteReference"/>
          <w:rFonts w:ascii="Tahoma" w:hAnsi="Tahoma" w:cs="Tahoma"/>
        </w:rPr>
        <w:footnoteReference w:id="8"/>
      </w:r>
      <w:r w:rsidR="0064695C">
        <w:rPr>
          <w:rFonts w:ascii="Tahoma" w:hAnsi="Tahoma" w:cs="Tahoma"/>
        </w:rPr>
        <w:t>, sem prejuízo de inúmeras outras</w:t>
      </w:r>
      <w:r w:rsidR="00625EAB">
        <w:rPr>
          <w:rFonts w:ascii="Tahoma" w:hAnsi="Tahoma" w:cs="Tahoma"/>
        </w:rPr>
        <w:t>.</w:t>
      </w:r>
    </w:p>
    <w:p w14:paraId="48799D56" w14:textId="22582ED7" w:rsidR="003305F3" w:rsidRDefault="003305F3">
      <w:pPr>
        <w:spacing w:after="0" w:line="360" w:lineRule="auto"/>
        <w:ind w:firstLine="7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A estrutura de mercado brasileira e os elementos preliminares colhidos em mercados nos quais se permite a verticalização levam a um certo ceticismo em relação aos potenciais ganhos associados </w:t>
      </w:r>
      <w:r w:rsidR="00261F38">
        <w:rPr>
          <w:rFonts w:ascii="Tahoma" w:hAnsi="Tahoma" w:cs="Tahoma"/>
        </w:rPr>
        <w:t>à adoção de</w:t>
      </w:r>
      <w:r>
        <w:rPr>
          <w:rFonts w:ascii="Tahoma" w:hAnsi="Tahoma" w:cs="Tahoma"/>
        </w:rPr>
        <w:t xml:space="preserve"> </w:t>
      </w:r>
      <w:r w:rsidR="00261F38">
        <w:rPr>
          <w:rFonts w:ascii="Tahoma" w:hAnsi="Tahoma" w:cs="Tahoma"/>
        </w:rPr>
        <w:t xml:space="preserve">um </w:t>
      </w:r>
      <w:r>
        <w:rPr>
          <w:rFonts w:ascii="Tahoma" w:hAnsi="Tahoma" w:cs="Tahoma"/>
        </w:rPr>
        <w:t>modelo de verticalização integral</w:t>
      </w:r>
      <w:r w:rsidR="00261F38">
        <w:rPr>
          <w:rFonts w:ascii="Tahoma" w:hAnsi="Tahoma" w:cs="Tahoma"/>
        </w:rPr>
        <w:t xml:space="preserve"> no país</w:t>
      </w:r>
      <w:r>
        <w:rPr>
          <w:rFonts w:ascii="Tahoma" w:hAnsi="Tahoma" w:cs="Tahoma"/>
        </w:rPr>
        <w:t xml:space="preserve">. </w:t>
      </w:r>
    </w:p>
    <w:p w14:paraId="7C9A4BE3" w14:textId="43AA0ABA" w:rsidR="004B29EE" w:rsidRDefault="00576894">
      <w:pPr>
        <w:spacing w:after="0" w:line="360" w:lineRule="auto"/>
        <w:ind w:firstLine="7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="004B29EE" w:rsidRPr="00AD7851">
        <w:rPr>
          <w:rFonts w:ascii="Tahoma" w:hAnsi="Tahoma" w:cs="Tahoma"/>
        </w:rPr>
        <w:t xml:space="preserve">ão há garantia das supostas vantagens que um processo de verticalização no mercado de combustíveis apresentaria em relação ao modelo atual, </w:t>
      </w:r>
      <w:r w:rsidR="004B29EE">
        <w:rPr>
          <w:rFonts w:ascii="Tahoma" w:hAnsi="Tahoma" w:cs="Tahoma"/>
        </w:rPr>
        <w:t xml:space="preserve">uma vez que </w:t>
      </w:r>
      <w:r w:rsidR="00261F38">
        <w:rPr>
          <w:rFonts w:ascii="Tahoma" w:hAnsi="Tahoma" w:cs="Tahoma"/>
        </w:rPr>
        <w:t xml:space="preserve">os </w:t>
      </w:r>
      <w:r w:rsidR="004B29EE">
        <w:rPr>
          <w:rFonts w:ascii="Tahoma" w:hAnsi="Tahoma" w:cs="Tahoma"/>
        </w:rPr>
        <w:t xml:space="preserve">contratos de exclusividade </w:t>
      </w:r>
      <w:r w:rsidR="00261F38">
        <w:rPr>
          <w:rFonts w:ascii="Tahoma" w:hAnsi="Tahoma" w:cs="Tahoma"/>
        </w:rPr>
        <w:t xml:space="preserve">com tutela regulatória </w:t>
      </w:r>
      <w:r w:rsidR="004B29EE">
        <w:rPr>
          <w:rFonts w:ascii="Tahoma" w:hAnsi="Tahoma" w:cs="Tahoma"/>
        </w:rPr>
        <w:t>permite</w:t>
      </w:r>
      <w:r w:rsidR="00261F38">
        <w:rPr>
          <w:rFonts w:ascii="Tahoma" w:hAnsi="Tahoma" w:cs="Tahoma"/>
        </w:rPr>
        <w:t>m</w:t>
      </w:r>
      <w:r w:rsidR="004B29EE">
        <w:rPr>
          <w:rFonts w:ascii="Tahoma" w:hAnsi="Tahoma" w:cs="Tahoma"/>
        </w:rPr>
        <w:t xml:space="preserve"> </w:t>
      </w:r>
      <w:r w:rsidR="004B29EE" w:rsidRPr="00AD7851">
        <w:rPr>
          <w:rFonts w:ascii="Tahoma" w:hAnsi="Tahoma" w:cs="Tahoma"/>
        </w:rPr>
        <w:t>uma série de arranjos produtivos que acabam reduzindo a incerteza</w:t>
      </w:r>
      <w:r w:rsidR="00DC0FB3">
        <w:rPr>
          <w:rFonts w:ascii="Tahoma" w:hAnsi="Tahoma" w:cs="Tahoma"/>
        </w:rPr>
        <w:t xml:space="preserve">, </w:t>
      </w:r>
      <w:r w:rsidR="00261F38">
        <w:rPr>
          <w:rFonts w:ascii="Tahoma" w:hAnsi="Tahoma" w:cs="Tahoma"/>
        </w:rPr>
        <w:t>a</w:t>
      </w:r>
      <w:r w:rsidR="00DC0FB3">
        <w:rPr>
          <w:rFonts w:ascii="Tahoma" w:hAnsi="Tahoma" w:cs="Tahoma"/>
        </w:rPr>
        <w:t xml:space="preserve"> ampliação de investimentos em ativos específicos, criam incentivos para investimentos de longo prazo em logística e infraestrutura (evitando o problema clássico de </w:t>
      </w:r>
      <w:r w:rsidR="00661995">
        <w:rPr>
          <w:rFonts w:ascii="Tahoma" w:hAnsi="Tahoma" w:cs="Tahoma"/>
          <w:i/>
        </w:rPr>
        <w:t>h</w:t>
      </w:r>
      <w:r w:rsidR="00DC0FB3" w:rsidRPr="00DC0FB3">
        <w:rPr>
          <w:rFonts w:ascii="Tahoma" w:hAnsi="Tahoma" w:cs="Tahoma"/>
          <w:i/>
        </w:rPr>
        <w:t xml:space="preserve">old </w:t>
      </w:r>
      <w:r w:rsidR="00DC0FB3">
        <w:rPr>
          <w:rFonts w:ascii="Tahoma" w:hAnsi="Tahoma" w:cs="Tahoma"/>
          <w:i/>
        </w:rPr>
        <w:t>up</w:t>
      </w:r>
      <w:r w:rsidR="00DC0FB3">
        <w:rPr>
          <w:rFonts w:ascii="Tahoma" w:hAnsi="Tahoma" w:cs="Tahoma"/>
        </w:rPr>
        <w:t>) e geram intensa competição no setor, seja pela presença dos revendedores de marca própria</w:t>
      </w:r>
      <w:r w:rsidR="00362DFC">
        <w:rPr>
          <w:rFonts w:ascii="Tahoma" w:hAnsi="Tahoma" w:cs="Tahoma"/>
        </w:rPr>
        <w:t xml:space="preserve"> (comumente conhecidos como bandeira branca)</w:t>
      </w:r>
      <w:r w:rsidR="00DC0FB3">
        <w:rPr>
          <w:rFonts w:ascii="Tahoma" w:hAnsi="Tahoma" w:cs="Tahoma"/>
        </w:rPr>
        <w:t xml:space="preserve"> seja pela presença de distribuidores regionais.</w:t>
      </w:r>
      <w:r w:rsidR="004B29EE" w:rsidRPr="00AD7851">
        <w:rPr>
          <w:rFonts w:ascii="Tahoma" w:hAnsi="Tahoma" w:cs="Tahoma"/>
        </w:rPr>
        <w:t xml:space="preserve"> </w:t>
      </w:r>
    </w:p>
    <w:p w14:paraId="5A13C175" w14:textId="644F7000" w:rsidR="00D0480B" w:rsidRDefault="00576894">
      <w:pPr>
        <w:spacing w:after="0" w:line="360" w:lineRule="auto"/>
        <w:ind w:firstLine="7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Adicionalmente, </w:t>
      </w:r>
      <w:r w:rsidR="008970DB">
        <w:rPr>
          <w:rFonts w:ascii="Tahoma" w:hAnsi="Tahoma" w:cs="Tahoma"/>
        </w:rPr>
        <w:t>há razões</w:t>
      </w:r>
      <w:r>
        <w:rPr>
          <w:rFonts w:ascii="Tahoma" w:hAnsi="Tahoma" w:cs="Tahoma"/>
        </w:rPr>
        <w:t xml:space="preserve"> </w:t>
      </w:r>
      <w:r w:rsidR="00261F38">
        <w:rPr>
          <w:rFonts w:ascii="Tahoma" w:hAnsi="Tahoma" w:cs="Tahoma"/>
        </w:rPr>
        <w:t xml:space="preserve">para demandar estudos mais cuidadosos antes de se defender a verticalização como alternativa </w:t>
      </w:r>
      <w:r w:rsidR="001F52BC">
        <w:rPr>
          <w:rFonts w:ascii="Tahoma" w:hAnsi="Tahoma" w:cs="Tahoma"/>
        </w:rPr>
        <w:t>à</w:t>
      </w:r>
      <w:r w:rsidR="00261F38">
        <w:rPr>
          <w:rFonts w:ascii="Tahoma" w:hAnsi="Tahoma" w:cs="Tahoma"/>
        </w:rPr>
        <w:t xml:space="preserve"> redução de preços no Brasil</w:t>
      </w:r>
      <w:r w:rsidR="003C7C3B">
        <w:rPr>
          <w:rFonts w:ascii="Tahoma" w:hAnsi="Tahoma" w:cs="Tahoma"/>
        </w:rPr>
        <w:t>, qual seja, o fato de que a</w:t>
      </w:r>
      <w:r w:rsidR="00261F38">
        <w:rPr>
          <w:rFonts w:ascii="Tahoma" w:hAnsi="Tahoma" w:cs="Tahoma"/>
        </w:rPr>
        <w:t xml:space="preserve"> verticalização </w:t>
      </w:r>
      <w:r w:rsidR="003C7C3B">
        <w:rPr>
          <w:rFonts w:ascii="Tahoma" w:hAnsi="Tahoma" w:cs="Tahoma"/>
        </w:rPr>
        <w:t>não diminui ou ameniza, pelo contrário, pode</w:t>
      </w:r>
      <w:r>
        <w:rPr>
          <w:rFonts w:ascii="Tahoma" w:hAnsi="Tahoma" w:cs="Tahoma"/>
        </w:rPr>
        <w:t>ria</w:t>
      </w:r>
      <w:r w:rsidR="003C7C3B">
        <w:rPr>
          <w:rFonts w:ascii="Tahoma" w:hAnsi="Tahoma" w:cs="Tahoma"/>
        </w:rPr>
        <w:t xml:space="preserve"> até agravar problemas estruturais relacionados ao mercado de combustíveis. A implantação da verticalização sem a</w:t>
      </w:r>
      <w:r w:rsidR="00362DFC">
        <w:rPr>
          <w:rFonts w:ascii="Tahoma" w:hAnsi="Tahoma" w:cs="Tahoma"/>
        </w:rPr>
        <w:t xml:space="preserve"> necessária</w:t>
      </w:r>
      <w:r w:rsidR="003C7C3B">
        <w:rPr>
          <w:rFonts w:ascii="Tahoma" w:hAnsi="Tahoma" w:cs="Tahoma"/>
        </w:rPr>
        <w:t xml:space="preserve"> reestruturação tributária pode</w:t>
      </w:r>
      <w:r w:rsidR="00D201E2">
        <w:rPr>
          <w:rFonts w:ascii="Tahoma" w:hAnsi="Tahoma" w:cs="Tahoma"/>
        </w:rPr>
        <w:t>ria</w:t>
      </w:r>
      <w:r w:rsidR="003C7C3B">
        <w:rPr>
          <w:rFonts w:ascii="Tahoma" w:hAnsi="Tahoma" w:cs="Tahoma"/>
        </w:rPr>
        <w:t xml:space="preserve"> agravar o problema </w:t>
      </w:r>
      <w:r w:rsidR="00362DFC">
        <w:rPr>
          <w:rFonts w:ascii="Tahoma" w:hAnsi="Tahoma" w:cs="Tahoma"/>
        </w:rPr>
        <w:t xml:space="preserve">de </w:t>
      </w:r>
      <w:r w:rsidR="003C7C3B">
        <w:rPr>
          <w:rFonts w:ascii="Tahoma" w:hAnsi="Tahoma" w:cs="Tahoma"/>
        </w:rPr>
        <w:t xml:space="preserve">evasão fiscal observado no setor. </w:t>
      </w:r>
      <w:r w:rsidR="00D0480B">
        <w:rPr>
          <w:rFonts w:ascii="Tahoma" w:hAnsi="Tahoma" w:cs="Tahoma"/>
        </w:rPr>
        <w:t xml:space="preserve">Essa tem sido não só uma preocupação das empresas do setor como também das autoridades fazendárias. A proposição de integração vertical de produção e revenda ou distribuição e revenda </w:t>
      </w:r>
      <w:r w:rsidR="00D201E2">
        <w:rPr>
          <w:rFonts w:ascii="Tahoma" w:hAnsi="Tahoma" w:cs="Tahoma"/>
        </w:rPr>
        <w:t xml:space="preserve">poderia ter </w:t>
      </w:r>
      <w:r w:rsidR="00D0480B">
        <w:rPr>
          <w:rFonts w:ascii="Tahoma" w:hAnsi="Tahoma" w:cs="Tahoma"/>
        </w:rPr>
        <w:t xml:space="preserve">impacto sobre arrecadação. Esse impacto deveria ser avaliado em detalhe no momento da discussão das propostas de mudança regulatória, com apresentação de propostas claras em relação à estruturação tributária futura em caso de aprovação da mudança sugerida. </w:t>
      </w:r>
    </w:p>
    <w:p w14:paraId="18F5CBB4" w14:textId="05A8965C" w:rsidR="003C7C3B" w:rsidRDefault="005910BE">
      <w:pPr>
        <w:spacing w:after="0" w:line="360" w:lineRule="auto"/>
        <w:ind w:firstLine="7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A proposta de verticalização também </w:t>
      </w:r>
      <w:r w:rsidR="008970DB">
        <w:rPr>
          <w:rFonts w:ascii="Tahoma" w:hAnsi="Tahoma" w:cs="Tahoma"/>
        </w:rPr>
        <w:t>poderia reforçar</w:t>
      </w:r>
      <w:r w:rsidR="003C7C3B">
        <w:rPr>
          <w:rFonts w:ascii="Tahoma" w:hAnsi="Tahoma" w:cs="Tahoma"/>
        </w:rPr>
        <w:t xml:space="preserve"> a posição do monopolista de fato no refino em outros elos da cadeia, diminuindo a rivalidade no mercado</w:t>
      </w:r>
      <w:r w:rsidR="00D0480B">
        <w:rPr>
          <w:rFonts w:ascii="Tahoma" w:hAnsi="Tahoma" w:cs="Tahoma"/>
        </w:rPr>
        <w:t>, o que caminharia no sentido contrário</w:t>
      </w:r>
      <w:r>
        <w:rPr>
          <w:rFonts w:ascii="Tahoma" w:hAnsi="Tahoma" w:cs="Tahoma"/>
        </w:rPr>
        <w:t xml:space="preserve"> das discussões realizadas nos últimos anos para que haja a abertura do mercado de refino no Brasil, seja por meio de parcerias seja por meio de alienação de parte do parque de refino por parte da </w:t>
      </w:r>
      <w:r w:rsidR="00D201E2">
        <w:rPr>
          <w:rFonts w:ascii="Tahoma" w:hAnsi="Tahoma" w:cs="Tahoma"/>
        </w:rPr>
        <w:t>empresa dominante</w:t>
      </w:r>
      <w:r>
        <w:rPr>
          <w:rFonts w:ascii="Tahoma" w:hAnsi="Tahoma" w:cs="Tahoma"/>
        </w:rPr>
        <w:t xml:space="preserve">. </w:t>
      </w:r>
      <w:r w:rsidR="003C7C3B">
        <w:rPr>
          <w:rFonts w:ascii="Tahoma" w:hAnsi="Tahoma" w:cs="Tahoma"/>
        </w:rPr>
        <w:t>Pode</w:t>
      </w:r>
      <w:r w:rsidR="003414A2">
        <w:rPr>
          <w:rFonts w:ascii="Tahoma" w:hAnsi="Tahoma" w:cs="Tahoma"/>
        </w:rPr>
        <w:t>ria</w:t>
      </w:r>
      <w:r w:rsidR="003C7C3B">
        <w:rPr>
          <w:rFonts w:ascii="Tahoma" w:hAnsi="Tahoma" w:cs="Tahoma"/>
        </w:rPr>
        <w:t xml:space="preserve">, </w:t>
      </w:r>
      <w:r w:rsidR="003C7C3B">
        <w:rPr>
          <w:rFonts w:ascii="Tahoma" w:hAnsi="Tahoma" w:cs="Tahoma"/>
        </w:rPr>
        <w:lastRenderedPageBreak/>
        <w:t>por fim, afastar capitais que seriam investidos em infraestrutura de produção, logística e infraestrutura, seja por conta do aumento das barreiras à entrada</w:t>
      </w:r>
      <w:r w:rsidR="00D0480B">
        <w:rPr>
          <w:rFonts w:ascii="Tahoma" w:hAnsi="Tahoma" w:cs="Tahoma"/>
        </w:rPr>
        <w:t xml:space="preserve"> e aumento dos incentivos para discriminação de preços contra concorrentes</w:t>
      </w:r>
      <w:r w:rsidR="003C7C3B">
        <w:rPr>
          <w:rFonts w:ascii="Tahoma" w:hAnsi="Tahoma" w:cs="Tahoma"/>
        </w:rPr>
        <w:t xml:space="preserve">, seja pela insegurança jurídica que a troca repentina do modelo brasileiro viria a gerar.   </w:t>
      </w:r>
    </w:p>
    <w:p w14:paraId="6BBCAB8B" w14:textId="5096ACFE" w:rsidR="00456C62" w:rsidRDefault="008970DB">
      <w:pPr>
        <w:spacing w:after="0" w:line="360" w:lineRule="auto"/>
        <w:ind w:firstLine="7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 experiência internacional não deveria</w:t>
      </w:r>
      <w:r w:rsidR="002F0189">
        <w:rPr>
          <w:rFonts w:ascii="Tahoma" w:hAnsi="Tahoma" w:cs="Tahoma"/>
        </w:rPr>
        <w:t xml:space="preserve"> </w:t>
      </w:r>
      <w:r w:rsidR="00EC3FDE">
        <w:rPr>
          <w:rFonts w:ascii="Tahoma" w:hAnsi="Tahoma" w:cs="Tahoma"/>
        </w:rPr>
        <w:t xml:space="preserve">ser apontada como uma evidência concreta de que modelos que permitem a verticalização geram mais concorrência e preços mais baixos. </w:t>
      </w:r>
      <w:r>
        <w:rPr>
          <w:rFonts w:ascii="Tahoma" w:hAnsi="Tahoma" w:cs="Tahoma"/>
        </w:rPr>
        <w:t>A regulação para o relacionamento vertical no mercado de combustíveis é</w:t>
      </w:r>
      <w:r w:rsidR="00456C62">
        <w:rPr>
          <w:rFonts w:ascii="Tahoma" w:hAnsi="Tahoma" w:cs="Tahoma"/>
        </w:rPr>
        <w:t xml:space="preserve"> muito diferentes, variando desde situações em que há limitação ao número ou proporção de postos revendedores que podem ser de posse de atores </w:t>
      </w:r>
      <w:r w:rsidR="00EC3FDE">
        <w:rPr>
          <w:rFonts w:ascii="Tahoma" w:hAnsi="Tahoma" w:cs="Tahoma"/>
        </w:rPr>
        <w:t>presentes em</w:t>
      </w:r>
      <w:r w:rsidR="00456C62">
        <w:rPr>
          <w:rFonts w:ascii="Tahoma" w:hAnsi="Tahoma" w:cs="Tahoma"/>
        </w:rPr>
        <w:t xml:space="preserve"> elos anteriores</w:t>
      </w:r>
      <w:r w:rsidR="00EC3FDE">
        <w:rPr>
          <w:rFonts w:ascii="Tahoma" w:hAnsi="Tahoma" w:cs="Tahoma"/>
        </w:rPr>
        <w:t>,</w:t>
      </w:r>
      <w:r w:rsidR="00456C62">
        <w:rPr>
          <w:rFonts w:ascii="Tahoma" w:hAnsi="Tahoma" w:cs="Tahoma"/>
        </w:rPr>
        <w:t xml:space="preserve"> até países em que grande parte dos postos revendedores foram contratual e verticalmente integrados com outros elos, em especial o do refino</w:t>
      </w:r>
      <w:r w:rsidR="00E65E13">
        <w:rPr>
          <w:rFonts w:ascii="Tahoma" w:hAnsi="Tahoma" w:cs="Tahoma"/>
        </w:rPr>
        <w:t xml:space="preserve">. </w:t>
      </w:r>
      <w:r w:rsidR="00EC3FDE">
        <w:rPr>
          <w:rFonts w:ascii="Tahoma" w:hAnsi="Tahoma" w:cs="Tahoma"/>
        </w:rPr>
        <w:t xml:space="preserve">Porém, os dados </w:t>
      </w:r>
      <w:r w:rsidR="002F0189">
        <w:rPr>
          <w:rFonts w:ascii="Tahoma" w:hAnsi="Tahoma" w:cs="Tahoma"/>
        </w:rPr>
        <w:t xml:space="preserve">demonstrariam </w:t>
      </w:r>
      <w:r w:rsidR="00EC3FDE">
        <w:rPr>
          <w:rFonts w:ascii="Tahoma" w:hAnsi="Tahoma" w:cs="Tahoma"/>
        </w:rPr>
        <w:t xml:space="preserve">que </w:t>
      </w:r>
      <w:r w:rsidR="00557208">
        <w:rPr>
          <w:rFonts w:ascii="Tahoma" w:hAnsi="Tahoma" w:cs="Tahoma"/>
        </w:rPr>
        <w:t xml:space="preserve">aspectos como a carga tributária, a intensa competição entre produtores e importadores, e a infraestrutura disponível para importar (o que permite aproveitar oportunidades de preços mais baixos no mercado internacional), </w:t>
      </w:r>
      <w:r w:rsidR="002F0189">
        <w:rPr>
          <w:rFonts w:ascii="Tahoma" w:hAnsi="Tahoma" w:cs="Tahoma"/>
        </w:rPr>
        <w:t xml:space="preserve">teriam </w:t>
      </w:r>
      <w:r w:rsidR="00557208">
        <w:rPr>
          <w:rFonts w:ascii="Tahoma" w:hAnsi="Tahoma" w:cs="Tahoma"/>
        </w:rPr>
        <w:t xml:space="preserve">papel </w:t>
      </w:r>
      <w:r w:rsidR="005910BE">
        <w:rPr>
          <w:rFonts w:ascii="Tahoma" w:hAnsi="Tahoma" w:cs="Tahoma"/>
        </w:rPr>
        <w:t xml:space="preserve">muito </w:t>
      </w:r>
      <w:r w:rsidR="00557208">
        <w:rPr>
          <w:rFonts w:ascii="Tahoma" w:hAnsi="Tahoma" w:cs="Tahoma"/>
        </w:rPr>
        <w:t xml:space="preserve">mais decisivo na formação de preços e na condição de rivalidade do que a própria permissão ou a limitação da verticalização.  </w:t>
      </w:r>
    </w:p>
    <w:p w14:paraId="0152A069" w14:textId="6CE38B84" w:rsidR="00557208" w:rsidRDefault="002F0189" w:rsidP="00557208">
      <w:pPr>
        <w:spacing w:after="0" w:line="360" w:lineRule="auto"/>
        <w:ind w:firstLine="7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 evolução do marco regulatório</w:t>
      </w:r>
      <w:r w:rsidR="00557208">
        <w:rPr>
          <w:rFonts w:ascii="Tahoma" w:hAnsi="Tahoma" w:cs="Tahoma"/>
        </w:rPr>
        <w:t xml:space="preserve"> não </w:t>
      </w:r>
      <w:r>
        <w:rPr>
          <w:rFonts w:ascii="Tahoma" w:hAnsi="Tahoma" w:cs="Tahoma"/>
        </w:rPr>
        <w:t xml:space="preserve">deveria </w:t>
      </w:r>
      <w:r w:rsidR="00557208">
        <w:rPr>
          <w:rFonts w:ascii="Tahoma" w:hAnsi="Tahoma" w:cs="Tahoma"/>
        </w:rPr>
        <w:t xml:space="preserve">acontecer sem uma análise mais cuidadosa dos custos e benefícios envolvidos em cada proposta normativa e deveria ser feita de uma perspectiva integrada sobre como a regulação como um todo está evoluindo. </w:t>
      </w:r>
      <w:r w:rsidR="00546100">
        <w:rPr>
          <w:rFonts w:ascii="Tahoma" w:hAnsi="Tahoma" w:cs="Tahoma"/>
        </w:rPr>
        <w:t>Em tese, a</w:t>
      </w:r>
      <w:r w:rsidR="00557208">
        <w:rPr>
          <w:rFonts w:ascii="Tahoma" w:hAnsi="Tahoma" w:cs="Tahoma"/>
        </w:rPr>
        <w:t xml:space="preserve"> ampliação da competitividade no setor de combustíveis no país passa</w:t>
      </w:r>
      <w:r w:rsidR="00546100">
        <w:rPr>
          <w:rFonts w:ascii="Tahoma" w:hAnsi="Tahoma" w:cs="Tahoma"/>
        </w:rPr>
        <w:t>ria</w:t>
      </w:r>
      <w:r w:rsidR="00557208">
        <w:rPr>
          <w:rFonts w:ascii="Tahoma" w:hAnsi="Tahoma" w:cs="Tahoma"/>
        </w:rPr>
        <w:t xml:space="preserve"> necessariamente por três elementos essenciais: i) a livre precificação, ii) o aumento da contestabilidade do monopólio de fato da </w:t>
      </w:r>
      <w:r w:rsidR="00546100">
        <w:rPr>
          <w:rFonts w:ascii="Tahoma" w:hAnsi="Tahoma" w:cs="Tahoma"/>
        </w:rPr>
        <w:t xml:space="preserve">empresa dominante </w:t>
      </w:r>
      <w:r w:rsidR="00557208">
        <w:rPr>
          <w:rFonts w:ascii="Tahoma" w:hAnsi="Tahoma" w:cs="Tahoma"/>
        </w:rPr>
        <w:t xml:space="preserve">no Refino e iii) a revisão da estrutura tributária. Esses três elementos reunidos garantiriam não só o aumento da competição entre os atores nos mais variados elos da cadeia como poderiam gerar </w:t>
      </w:r>
      <w:r w:rsidR="009B61B5">
        <w:rPr>
          <w:rFonts w:ascii="Tahoma" w:hAnsi="Tahoma" w:cs="Tahoma"/>
        </w:rPr>
        <w:t xml:space="preserve">redução nos preços dos combustíveis baseada no aumento de produtividade do setor como um todo. </w:t>
      </w:r>
    </w:p>
    <w:p w14:paraId="56AC7D3C" w14:textId="397A61A8" w:rsidR="00B90E33" w:rsidRDefault="00557208" w:rsidP="00F5691F">
      <w:pPr>
        <w:spacing w:after="0" w:line="360" w:lineRule="auto"/>
        <w:ind w:firstLine="7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Assim, d</w:t>
      </w:r>
      <w:r w:rsidR="00196AF5">
        <w:rPr>
          <w:rFonts w:ascii="Tahoma" w:hAnsi="Tahoma" w:cs="Tahoma"/>
        </w:rPr>
        <w:t>ados os riscos anticompetitivos, regulatórios e tributários que derivam de uma mudança estrutural das normas que regulam o setor,</w:t>
      </w:r>
      <w:r w:rsidR="005910BE">
        <w:rPr>
          <w:rFonts w:ascii="Tahoma" w:hAnsi="Tahoma" w:cs="Tahoma"/>
        </w:rPr>
        <w:t xml:space="preserve"> </w:t>
      </w:r>
      <w:r w:rsidR="00196AF5">
        <w:rPr>
          <w:rFonts w:ascii="Tahoma" w:hAnsi="Tahoma" w:cs="Tahoma"/>
        </w:rPr>
        <w:t>a ANP deveria fundamentar qualquer proposta normativa com um estudo minucioso de seus custos e benefícios</w:t>
      </w:r>
      <w:r w:rsidR="003C7C3B">
        <w:rPr>
          <w:rFonts w:ascii="Tahoma" w:hAnsi="Tahoma" w:cs="Tahoma"/>
        </w:rPr>
        <w:t xml:space="preserve">, em outras palavras, </w:t>
      </w:r>
      <w:r w:rsidR="0037798C">
        <w:rPr>
          <w:rFonts w:ascii="Tahoma" w:hAnsi="Tahoma" w:cs="Tahoma"/>
        </w:rPr>
        <w:t>entender como a concorrência seria afetada por eventuais mudanças da atual sistemática regulatória</w:t>
      </w:r>
      <w:r w:rsidR="00F95D75">
        <w:rPr>
          <w:rFonts w:ascii="Tahoma" w:hAnsi="Tahoma" w:cs="Tahoma"/>
        </w:rPr>
        <w:t xml:space="preserve">, </w:t>
      </w:r>
      <w:r w:rsidR="00196AF5">
        <w:rPr>
          <w:rFonts w:ascii="Tahoma" w:hAnsi="Tahoma" w:cs="Tahoma"/>
        </w:rPr>
        <w:t>a partir de uma profunda análise de impacto regulatório</w:t>
      </w:r>
      <w:r w:rsidR="0037798C">
        <w:rPr>
          <w:rFonts w:ascii="Tahoma" w:hAnsi="Tahoma" w:cs="Tahoma"/>
        </w:rPr>
        <w:t xml:space="preserve">. </w:t>
      </w:r>
    </w:p>
    <w:p w14:paraId="26B27855" w14:textId="77777777" w:rsidR="00D513A9" w:rsidRPr="005573AA" w:rsidRDefault="00D513A9" w:rsidP="005573A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5CF881" w14:textId="6A29D228" w:rsidR="00705256" w:rsidRPr="00984BC0" w:rsidRDefault="00984BC0" w:rsidP="00984BC0">
      <w:pPr>
        <w:tabs>
          <w:tab w:val="left" w:pos="426"/>
        </w:tabs>
        <w:spacing w:after="0" w:line="360" w:lineRule="auto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DA </w:t>
      </w:r>
      <w:r w:rsidR="007671AB" w:rsidRPr="00984BC0">
        <w:rPr>
          <w:rFonts w:ascii="Tahoma" w:hAnsi="Tahoma" w:cs="Tahoma"/>
          <w:b/>
        </w:rPr>
        <w:t>ESTRATÉGIAS REGULATÓRIAS DIRECIONADAS À VERTICALIZAÇÃO</w:t>
      </w:r>
      <w:r w:rsidR="00705256" w:rsidRPr="00984BC0">
        <w:rPr>
          <w:rFonts w:ascii="Tahoma" w:hAnsi="Tahoma" w:cs="Tahoma"/>
          <w:b/>
        </w:rPr>
        <w:t xml:space="preserve"> E IMPACTOS POSSÍVEIS DA MUDANÇA DE REGIME</w:t>
      </w:r>
      <w:r w:rsidR="00856D50" w:rsidRPr="00984BC0">
        <w:rPr>
          <w:rFonts w:ascii="Tahoma" w:hAnsi="Tahoma" w:cs="Tahoma"/>
          <w:b/>
        </w:rPr>
        <w:t xml:space="preserve"> NO BRASIL</w:t>
      </w:r>
      <w:r w:rsidR="00705256" w:rsidRPr="00984BC0">
        <w:rPr>
          <w:rFonts w:ascii="Tahoma" w:hAnsi="Tahoma" w:cs="Tahoma"/>
          <w:b/>
        </w:rPr>
        <w:t>.</w:t>
      </w:r>
    </w:p>
    <w:p w14:paraId="35417A14" w14:textId="5CF417D1" w:rsidR="00E61137" w:rsidRDefault="00705256" w:rsidP="0042663D">
      <w:pPr>
        <w:pStyle w:val="ListParagraph"/>
        <w:tabs>
          <w:tab w:val="left" w:pos="426"/>
        </w:tabs>
        <w:spacing w:after="0" w:line="360" w:lineRule="auto"/>
        <w:ind w:left="0"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lastRenderedPageBreak/>
        <w:t xml:space="preserve"> </w:t>
      </w:r>
      <w:r w:rsidR="00CF12EE">
        <w:rPr>
          <w:rFonts w:ascii="Tahoma" w:hAnsi="Tahoma" w:cs="Tahoma"/>
        </w:rPr>
        <w:tab/>
      </w:r>
      <w:r w:rsidR="00CA5FCA">
        <w:rPr>
          <w:rFonts w:ascii="Tahoma" w:hAnsi="Tahoma" w:cs="Tahoma"/>
        </w:rPr>
        <w:tab/>
      </w:r>
      <w:r w:rsidR="00F5796F">
        <w:rPr>
          <w:rFonts w:ascii="Tahoma" w:hAnsi="Tahoma" w:cs="Tahoma"/>
        </w:rPr>
        <w:t>Levando em consideração os</w:t>
      </w:r>
      <w:r w:rsidR="002B7CC0">
        <w:rPr>
          <w:rFonts w:ascii="Tahoma" w:hAnsi="Tahoma" w:cs="Tahoma"/>
        </w:rPr>
        <w:t xml:space="preserve"> riscos e eficiências envolvidos com </w:t>
      </w:r>
      <w:r w:rsidR="00F5796F">
        <w:rPr>
          <w:rFonts w:ascii="Tahoma" w:hAnsi="Tahoma" w:cs="Tahoma"/>
        </w:rPr>
        <w:t xml:space="preserve">a </w:t>
      </w:r>
      <w:r w:rsidR="00E61137">
        <w:rPr>
          <w:rFonts w:ascii="Tahoma" w:hAnsi="Tahoma" w:cs="Tahoma"/>
        </w:rPr>
        <w:t>eventual</w:t>
      </w:r>
      <w:r w:rsidR="002B7CC0">
        <w:rPr>
          <w:rFonts w:ascii="Tahoma" w:hAnsi="Tahoma" w:cs="Tahoma"/>
        </w:rPr>
        <w:t xml:space="preserve"> verticalização da distribuição </w:t>
      </w:r>
      <w:r w:rsidR="006C1017">
        <w:rPr>
          <w:rFonts w:ascii="Tahoma" w:hAnsi="Tahoma" w:cs="Tahoma"/>
        </w:rPr>
        <w:t xml:space="preserve">e </w:t>
      </w:r>
      <w:r w:rsidR="006F33EC">
        <w:rPr>
          <w:rFonts w:ascii="Tahoma" w:hAnsi="Tahoma" w:cs="Tahoma"/>
        </w:rPr>
        <w:t>d</w:t>
      </w:r>
      <w:r w:rsidR="002B7CC0">
        <w:rPr>
          <w:rFonts w:ascii="Tahoma" w:hAnsi="Tahoma" w:cs="Tahoma"/>
        </w:rPr>
        <w:t xml:space="preserve">a revenda, </w:t>
      </w:r>
      <w:r w:rsidR="003A503D">
        <w:rPr>
          <w:rFonts w:ascii="Tahoma" w:hAnsi="Tahoma" w:cs="Tahoma"/>
        </w:rPr>
        <w:t xml:space="preserve">é possível verificar a existência de inúmeros modelos de regulação. </w:t>
      </w:r>
    </w:p>
    <w:p w14:paraId="54D5359F" w14:textId="24BAB105" w:rsidR="00F33CF0" w:rsidRDefault="006A6935" w:rsidP="005573AA">
      <w:pPr>
        <w:spacing w:after="0" w:line="360" w:lineRule="auto"/>
        <w:ind w:firstLine="7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As propostas de cada país para o relacionamento vertical </w:t>
      </w:r>
      <w:r w:rsidR="00C44978">
        <w:rPr>
          <w:rFonts w:ascii="Tahoma" w:hAnsi="Tahoma" w:cs="Tahoma"/>
        </w:rPr>
        <w:t xml:space="preserve">no mercado de combustíveis são muito diferentes, variando desde </w:t>
      </w:r>
      <w:r w:rsidR="00E0210C">
        <w:rPr>
          <w:rFonts w:ascii="Tahoma" w:hAnsi="Tahoma" w:cs="Tahoma"/>
        </w:rPr>
        <w:t xml:space="preserve">situações </w:t>
      </w:r>
      <w:r w:rsidR="00D33498">
        <w:rPr>
          <w:rFonts w:ascii="Tahoma" w:hAnsi="Tahoma" w:cs="Tahoma"/>
        </w:rPr>
        <w:t xml:space="preserve">em que </w:t>
      </w:r>
      <w:r w:rsidR="00CA01BE">
        <w:rPr>
          <w:rFonts w:ascii="Tahoma" w:hAnsi="Tahoma" w:cs="Tahoma"/>
        </w:rPr>
        <w:t xml:space="preserve">há limitação ao número </w:t>
      </w:r>
      <w:r w:rsidR="00140670">
        <w:rPr>
          <w:rFonts w:ascii="Tahoma" w:hAnsi="Tahoma" w:cs="Tahoma"/>
        </w:rPr>
        <w:t>ou proporção de postos revendedores que podem ser de posse de atores atualmente em elos anteriores (c</w:t>
      </w:r>
      <w:r w:rsidR="0084094F">
        <w:rPr>
          <w:rFonts w:ascii="Tahoma" w:hAnsi="Tahoma" w:cs="Tahoma"/>
        </w:rPr>
        <w:t xml:space="preserve">omo na Turquia e na Argentina) </w:t>
      </w:r>
      <w:r w:rsidR="00140670">
        <w:rPr>
          <w:rFonts w:ascii="Tahoma" w:hAnsi="Tahoma" w:cs="Tahoma"/>
        </w:rPr>
        <w:t xml:space="preserve">até países </w:t>
      </w:r>
      <w:r w:rsidR="0089484E">
        <w:rPr>
          <w:rFonts w:ascii="Tahoma" w:hAnsi="Tahoma" w:cs="Tahoma"/>
        </w:rPr>
        <w:t xml:space="preserve">em que grande parte dos postos revendedores </w:t>
      </w:r>
      <w:r w:rsidR="009135F2">
        <w:rPr>
          <w:rFonts w:ascii="Tahoma" w:hAnsi="Tahoma" w:cs="Tahoma"/>
        </w:rPr>
        <w:t>foram</w:t>
      </w:r>
      <w:r w:rsidR="0089484E">
        <w:rPr>
          <w:rFonts w:ascii="Tahoma" w:hAnsi="Tahoma" w:cs="Tahoma"/>
        </w:rPr>
        <w:t xml:space="preserve"> contratual e verticalmente integrados com outros elos, em especial o do refino (como em Portugal e </w:t>
      </w:r>
      <w:r w:rsidR="00FE20BF">
        <w:rPr>
          <w:rFonts w:ascii="Tahoma" w:hAnsi="Tahoma" w:cs="Tahoma"/>
        </w:rPr>
        <w:t>na Itália)</w:t>
      </w:r>
      <w:r w:rsidR="00BF17C6">
        <w:rPr>
          <w:rFonts w:ascii="Tahoma" w:hAnsi="Tahoma" w:cs="Tahoma"/>
        </w:rPr>
        <w:t>.</w:t>
      </w:r>
      <w:r w:rsidR="00BF17C6" w:rsidRPr="00F33CF0">
        <w:rPr>
          <w:rStyle w:val="FootnoteReference"/>
          <w:rFonts w:ascii="Tahoma" w:hAnsi="Tahoma" w:cs="Tahoma"/>
        </w:rPr>
        <w:footnoteReference w:id="9"/>
      </w:r>
      <w:r w:rsidR="009469BB">
        <w:rPr>
          <w:rFonts w:ascii="Tahoma" w:hAnsi="Tahoma" w:cs="Tahoma"/>
        </w:rPr>
        <w:t xml:space="preserve"> Há outras </w:t>
      </w:r>
      <w:r w:rsidR="00F33CF0" w:rsidRPr="00F33CF0">
        <w:rPr>
          <w:rFonts w:ascii="Tahoma" w:hAnsi="Tahoma" w:cs="Tahoma"/>
        </w:rPr>
        <w:t xml:space="preserve">situações em que </w:t>
      </w:r>
      <w:r w:rsidR="00150816">
        <w:rPr>
          <w:rFonts w:ascii="Tahoma" w:hAnsi="Tahoma" w:cs="Tahoma"/>
        </w:rPr>
        <w:t xml:space="preserve">se regula </w:t>
      </w:r>
      <w:r w:rsidR="00F33CF0" w:rsidRPr="00F33CF0">
        <w:rPr>
          <w:rFonts w:ascii="Tahoma" w:hAnsi="Tahoma" w:cs="Tahoma"/>
        </w:rPr>
        <w:t>o próprio contrato de franquia</w:t>
      </w:r>
      <w:r w:rsidR="00F33CF0" w:rsidRPr="00F33CF0">
        <w:rPr>
          <w:rStyle w:val="FootnoteReference"/>
          <w:rFonts w:ascii="Tahoma" w:hAnsi="Tahoma" w:cs="Tahoma"/>
        </w:rPr>
        <w:footnoteReference w:id="10"/>
      </w:r>
      <w:r w:rsidR="00CB0EF9">
        <w:rPr>
          <w:rFonts w:ascii="Tahoma" w:hAnsi="Tahoma" w:cs="Tahoma"/>
        </w:rPr>
        <w:t xml:space="preserve"> e outras em que a regulação determina </w:t>
      </w:r>
      <w:r w:rsidR="00F33CF0" w:rsidRPr="00F33CF0">
        <w:rPr>
          <w:rFonts w:ascii="Tahoma" w:hAnsi="Tahoma" w:cs="Tahoma"/>
        </w:rPr>
        <w:t>a compra, a qualquer tempo e a preço de mercado, dos equipamentos emprestados em comodato pela distribuidora</w:t>
      </w:r>
      <w:r w:rsidR="00CB0EF9">
        <w:rPr>
          <w:rFonts w:ascii="Tahoma" w:hAnsi="Tahoma" w:cs="Tahoma"/>
        </w:rPr>
        <w:t xml:space="preserve"> ao revendedor</w:t>
      </w:r>
      <w:r w:rsidR="00A8656E">
        <w:rPr>
          <w:rFonts w:ascii="Tahoma" w:hAnsi="Tahoma" w:cs="Tahoma"/>
        </w:rPr>
        <w:t>.</w:t>
      </w:r>
      <w:r w:rsidR="00F33CF0" w:rsidRPr="00F33CF0">
        <w:rPr>
          <w:rFonts w:ascii="Tahoma" w:hAnsi="Tahoma" w:cs="Tahoma"/>
        </w:rPr>
        <w:t xml:space="preserve"> </w:t>
      </w:r>
    </w:p>
    <w:p w14:paraId="583065D8" w14:textId="2412122B" w:rsidR="00944153" w:rsidRPr="00944153" w:rsidRDefault="007B3D1E" w:rsidP="00944153">
      <w:pPr>
        <w:spacing w:after="0" w:line="360" w:lineRule="auto"/>
        <w:ind w:firstLine="7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Nos Estados Unidos, </w:t>
      </w:r>
      <w:r w:rsidR="00DF3F91">
        <w:rPr>
          <w:rFonts w:ascii="Tahoma" w:hAnsi="Tahoma" w:cs="Tahoma"/>
        </w:rPr>
        <w:t xml:space="preserve">apesar de poucos estados terem aprovado </w:t>
      </w:r>
      <w:r w:rsidR="00421483">
        <w:rPr>
          <w:rFonts w:ascii="Tahoma" w:hAnsi="Tahoma" w:cs="Tahoma"/>
        </w:rPr>
        <w:t>leis que impediam a verticalização entre refinarias e revendedores</w:t>
      </w:r>
      <w:r w:rsidR="00DF3F91">
        <w:rPr>
          <w:rFonts w:ascii="Tahoma" w:hAnsi="Tahoma" w:cs="Tahoma"/>
        </w:rPr>
        <w:t xml:space="preserve">, o mercado de revenda de combustíveis ainda conta com diferentes tipos de arranjos verticais permitidos pela legislação. Destacam-se </w:t>
      </w:r>
      <w:r w:rsidR="006F47F0">
        <w:rPr>
          <w:rFonts w:ascii="Tahoma" w:hAnsi="Tahoma" w:cs="Tahoma"/>
        </w:rPr>
        <w:t xml:space="preserve">(i) postos </w:t>
      </w:r>
      <w:r w:rsidR="00421483">
        <w:rPr>
          <w:rFonts w:ascii="Tahoma" w:hAnsi="Tahoma" w:cs="Tahoma"/>
        </w:rPr>
        <w:t>revendedores detidos por refinarias</w:t>
      </w:r>
      <w:r w:rsidR="006F47F0">
        <w:rPr>
          <w:rFonts w:ascii="Tahoma" w:hAnsi="Tahoma" w:cs="Tahoma"/>
        </w:rPr>
        <w:t xml:space="preserve"> (</w:t>
      </w:r>
      <w:r w:rsidR="006F47F0">
        <w:rPr>
          <w:rFonts w:ascii="Tahoma" w:hAnsi="Tahoma" w:cs="Tahoma"/>
          <w:i/>
        </w:rPr>
        <w:t>“company-operated stations”</w:t>
      </w:r>
      <w:r w:rsidR="006F47F0">
        <w:rPr>
          <w:rFonts w:ascii="Tahoma" w:hAnsi="Tahoma" w:cs="Tahoma"/>
        </w:rPr>
        <w:t xml:space="preserve">), </w:t>
      </w:r>
      <w:r w:rsidR="00421483">
        <w:rPr>
          <w:rFonts w:ascii="Tahoma" w:hAnsi="Tahoma" w:cs="Tahoma"/>
        </w:rPr>
        <w:t>verticalmente integrados</w:t>
      </w:r>
      <w:r w:rsidR="003E7588">
        <w:rPr>
          <w:rFonts w:ascii="Tahoma" w:hAnsi="Tahoma" w:cs="Tahoma"/>
        </w:rPr>
        <w:t xml:space="preserve">, em que o </w:t>
      </w:r>
      <w:r w:rsidR="007316B1">
        <w:rPr>
          <w:rFonts w:ascii="Tahoma" w:hAnsi="Tahoma" w:cs="Tahoma"/>
        </w:rPr>
        <w:t>gerente é normalmente empregado da refinaria que é dona do posto</w:t>
      </w:r>
      <w:r w:rsidR="00421483">
        <w:rPr>
          <w:rFonts w:ascii="Tahoma" w:hAnsi="Tahoma" w:cs="Tahoma"/>
        </w:rPr>
        <w:t xml:space="preserve">; </w:t>
      </w:r>
      <w:r w:rsidR="006F47F0">
        <w:rPr>
          <w:rFonts w:ascii="Tahoma" w:hAnsi="Tahoma" w:cs="Tahoma"/>
        </w:rPr>
        <w:t xml:space="preserve">(ii) </w:t>
      </w:r>
      <w:r w:rsidR="00944153">
        <w:rPr>
          <w:rFonts w:ascii="Tahoma" w:hAnsi="Tahoma" w:cs="Tahoma"/>
        </w:rPr>
        <w:t xml:space="preserve">postos com </w:t>
      </w:r>
      <w:r w:rsidR="00944153" w:rsidRPr="00944153">
        <w:rPr>
          <w:rFonts w:ascii="Tahoma" w:hAnsi="Tahoma" w:cs="Tahoma"/>
        </w:rPr>
        <w:t xml:space="preserve">contratos de franquia </w:t>
      </w:r>
      <w:r w:rsidR="006F47F0">
        <w:rPr>
          <w:rFonts w:ascii="Tahoma" w:hAnsi="Tahoma" w:cs="Tahoma"/>
        </w:rPr>
        <w:t>com refinarias</w:t>
      </w:r>
      <w:r w:rsidR="00F07907">
        <w:rPr>
          <w:rFonts w:ascii="Tahoma" w:hAnsi="Tahoma" w:cs="Tahoma"/>
        </w:rPr>
        <w:t xml:space="preserve"> (</w:t>
      </w:r>
      <w:r w:rsidR="00F07907">
        <w:rPr>
          <w:rFonts w:ascii="Tahoma" w:hAnsi="Tahoma" w:cs="Tahoma"/>
          <w:i/>
        </w:rPr>
        <w:t>“lessee dealer stations”</w:t>
      </w:r>
      <w:r w:rsidR="00F07907">
        <w:rPr>
          <w:rFonts w:ascii="Tahoma" w:hAnsi="Tahoma" w:cs="Tahoma"/>
        </w:rPr>
        <w:t>)</w:t>
      </w:r>
      <w:r w:rsidR="006F47F0">
        <w:rPr>
          <w:rFonts w:ascii="Tahoma" w:hAnsi="Tahoma" w:cs="Tahoma"/>
        </w:rPr>
        <w:t xml:space="preserve">, </w:t>
      </w:r>
      <w:r w:rsidR="00113258">
        <w:rPr>
          <w:rFonts w:ascii="Tahoma" w:hAnsi="Tahoma" w:cs="Tahoma"/>
        </w:rPr>
        <w:t>em que o capital físico do posto é normalmente detido pela refinaria</w:t>
      </w:r>
      <w:r w:rsidR="00F07907">
        <w:rPr>
          <w:rFonts w:ascii="Tahoma" w:hAnsi="Tahoma" w:cs="Tahoma"/>
        </w:rPr>
        <w:t xml:space="preserve"> e que contam com a presença de contratos de exclusividade para com elas</w:t>
      </w:r>
      <w:r w:rsidR="00944153">
        <w:rPr>
          <w:rFonts w:ascii="Tahoma" w:hAnsi="Tahoma" w:cs="Tahoma"/>
        </w:rPr>
        <w:t xml:space="preserve">; </w:t>
      </w:r>
      <w:r w:rsidR="00F07907">
        <w:rPr>
          <w:rFonts w:ascii="Tahoma" w:hAnsi="Tahoma" w:cs="Tahoma"/>
        </w:rPr>
        <w:t xml:space="preserve">e (iii) </w:t>
      </w:r>
      <w:r w:rsidR="00944153" w:rsidRPr="00944153">
        <w:rPr>
          <w:rFonts w:ascii="Tahoma" w:hAnsi="Tahoma" w:cs="Tahoma"/>
        </w:rPr>
        <w:t xml:space="preserve">postos </w:t>
      </w:r>
      <w:r w:rsidR="00944153">
        <w:rPr>
          <w:rFonts w:ascii="Tahoma" w:hAnsi="Tahoma" w:cs="Tahoma"/>
        </w:rPr>
        <w:t>independentes</w:t>
      </w:r>
      <w:r w:rsidR="007631E7">
        <w:rPr>
          <w:rFonts w:ascii="Tahoma" w:hAnsi="Tahoma" w:cs="Tahoma"/>
        </w:rPr>
        <w:t xml:space="preserve"> (</w:t>
      </w:r>
      <w:r w:rsidR="007631E7">
        <w:rPr>
          <w:rFonts w:ascii="Tahoma" w:hAnsi="Tahoma" w:cs="Tahoma"/>
          <w:i/>
        </w:rPr>
        <w:t>“open dealer stations”</w:t>
      </w:r>
      <w:r w:rsidR="007631E7">
        <w:rPr>
          <w:rFonts w:ascii="Tahoma" w:hAnsi="Tahoma" w:cs="Tahoma"/>
        </w:rPr>
        <w:t>),</w:t>
      </w:r>
      <w:r w:rsidR="00B32B4A">
        <w:rPr>
          <w:rFonts w:ascii="Tahoma" w:hAnsi="Tahoma" w:cs="Tahoma"/>
        </w:rPr>
        <w:t xml:space="preserve"> de propriedade do próprio gerente ou de “</w:t>
      </w:r>
      <w:r w:rsidR="00B32B4A">
        <w:rPr>
          <w:rFonts w:ascii="Tahoma" w:hAnsi="Tahoma" w:cs="Tahoma"/>
          <w:i/>
        </w:rPr>
        <w:t>jobbers”</w:t>
      </w:r>
      <w:r w:rsidR="00B32B4A">
        <w:rPr>
          <w:rFonts w:ascii="Tahoma" w:hAnsi="Tahoma" w:cs="Tahoma"/>
        </w:rPr>
        <w:t>, distribuidores independentes</w:t>
      </w:r>
      <w:r w:rsidR="00292F92">
        <w:rPr>
          <w:rFonts w:ascii="Tahoma" w:hAnsi="Tahoma" w:cs="Tahoma"/>
        </w:rPr>
        <w:t xml:space="preserve">. Os postos independentes podem optar por se vincular à marca de uma distribuidora, cenário em que devem </w:t>
      </w:r>
      <w:r w:rsidR="0093402F">
        <w:rPr>
          <w:rFonts w:ascii="Tahoma" w:hAnsi="Tahoma" w:cs="Tahoma"/>
        </w:rPr>
        <w:t xml:space="preserve">manter o compromisso de exclusividade de fornecimento, ou optar por ter marca própria, </w:t>
      </w:r>
      <w:r w:rsidR="005C00F7">
        <w:rPr>
          <w:rFonts w:ascii="Tahoma" w:hAnsi="Tahoma" w:cs="Tahoma"/>
        </w:rPr>
        <w:t>cenário em que pode comercializar combustível de qualquer refinaria</w:t>
      </w:r>
      <w:r w:rsidR="00944153">
        <w:rPr>
          <w:rFonts w:ascii="Tahoma" w:hAnsi="Tahoma" w:cs="Tahoma"/>
        </w:rPr>
        <w:t>.</w:t>
      </w:r>
      <w:r w:rsidR="006F47F0">
        <w:rPr>
          <w:rStyle w:val="FootnoteReference"/>
          <w:rFonts w:ascii="Tahoma" w:hAnsi="Tahoma" w:cs="Tahoma"/>
        </w:rPr>
        <w:footnoteReference w:id="11"/>
      </w:r>
      <w:r w:rsidR="00944153">
        <w:rPr>
          <w:rFonts w:ascii="Tahoma" w:hAnsi="Tahoma" w:cs="Tahoma"/>
        </w:rPr>
        <w:t xml:space="preserve"> </w:t>
      </w:r>
    </w:p>
    <w:p w14:paraId="4589B2FF" w14:textId="348E1E73" w:rsidR="00D638F6" w:rsidRDefault="00AF2498" w:rsidP="005E5BEA">
      <w:pPr>
        <w:spacing w:after="0" w:line="360" w:lineRule="auto"/>
        <w:ind w:firstLine="7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Na Austrália, </w:t>
      </w:r>
      <w:r w:rsidR="007B6822">
        <w:rPr>
          <w:rFonts w:ascii="Tahoma" w:hAnsi="Tahoma" w:cs="Tahoma"/>
        </w:rPr>
        <w:t xml:space="preserve">que apresenta uma divisão de elos da cadeia de combustíveis semelhante </w:t>
      </w:r>
      <w:r w:rsidR="008A5DEC">
        <w:rPr>
          <w:rFonts w:ascii="Tahoma" w:hAnsi="Tahoma" w:cs="Tahoma"/>
        </w:rPr>
        <w:t xml:space="preserve">à brasileira (produção, refino, distribuição e revenda), em que pese </w:t>
      </w:r>
      <w:r w:rsidR="00084641">
        <w:rPr>
          <w:rFonts w:ascii="Tahoma" w:hAnsi="Tahoma" w:cs="Tahoma"/>
        </w:rPr>
        <w:t xml:space="preserve">existirem diferenças significativas quanto ao grau de concorrência destes elos (especialmente no </w:t>
      </w:r>
      <w:r w:rsidR="00084641">
        <w:rPr>
          <w:rFonts w:ascii="Tahoma" w:hAnsi="Tahoma" w:cs="Tahoma"/>
        </w:rPr>
        <w:lastRenderedPageBreak/>
        <w:t xml:space="preserve">refino, que conta com a presença de diferentes empresas), </w:t>
      </w:r>
      <w:r w:rsidR="004A2739">
        <w:rPr>
          <w:rFonts w:ascii="Tahoma" w:hAnsi="Tahoma" w:cs="Tahoma"/>
        </w:rPr>
        <w:t xml:space="preserve">há formas </w:t>
      </w:r>
      <w:r w:rsidR="006D0658">
        <w:rPr>
          <w:rFonts w:ascii="Tahoma" w:hAnsi="Tahoma" w:cs="Tahoma"/>
        </w:rPr>
        <w:t xml:space="preserve">variadas </w:t>
      </w:r>
      <w:r w:rsidR="004A2739">
        <w:rPr>
          <w:rFonts w:ascii="Tahoma" w:hAnsi="Tahoma" w:cs="Tahoma"/>
        </w:rPr>
        <w:t xml:space="preserve">de relacionamento vertical envolvendo a revenda. Existem quatro grandes categorias de postos revendedores: </w:t>
      </w:r>
      <w:r w:rsidR="00A40D90">
        <w:rPr>
          <w:rFonts w:ascii="Tahoma" w:hAnsi="Tahoma" w:cs="Tahoma"/>
        </w:rPr>
        <w:t xml:space="preserve">postos de propriedade das refinarias; postos independentes vinculado à marca da refinaria, </w:t>
      </w:r>
      <w:r w:rsidR="00557FD0">
        <w:rPr>
          <w:rFonts w:ascii="Tahoma" w:hAnsi="Tahoma" w:cs="Tahoma"/>
        </w:rPr>
        <w:t>mas cujo terreno é da distribuidora; postos de supermercados</w:t>
      </w:r>
      <w:r w:rsidR="00946952">
        <w:rPr>
          <w:rStyle w:val="FootnoteReference"/>
          <w:rFonts w:ascii="Tahoma" w:hAnsi="Tahoma" w:cs="Tahoma"/>
        </w:rPr>
        <w:footnoteReference w:id="12"/>
      </w:r>
      <w:r w:rsidR="00557FD0">
        <w:rPr>
          <w:rFonts w:ascii="Tahoma" w:hAnsi="Tahoma" w:cs="Tahoma"/>
        </w:rPr>
        <w:t xml:space="preserve"> e postos independentes de marcas próprias.</w:t>
      </w:r>
      <w:r w:rsidR="00557FD0">
        <w:rPr>
          <w:rStyle w:val="FootnoteReference"/>
          <w:rFonts w:ascii="Tahoma" w:hAnsi="Tahoma" w:cs="Tahoma"/>
        </w:rPr>
        <w:footnoteReference w:id="13"/>
      </w:r>
      <w:r w:rsidR="00946952">
        <w:rPr>
          <w:rFonts w:ascii="Tahoma" w:hAnsi="Tahoma" w:cs="Tahoma"/>
        </w:rPr>
        <w:t xml:space="preserve"> </w:t>
      </w:r>
    </w:p>
    <w:p w14:paraId="7597BF98" w14:textId="34BE7819" w:rsidR="007F402F" w:rsidRPr="007F402F" w:rsidRDefault="00A343B2" w:rsidP="007F402F">
      <w:pPr>
        <w:spacing w:after="0" w:line="360" w:lineRule="auto"/>
        <w:ind w:firstLine="7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O</w:t>
      </w:r>
      <w:r w:rsidR="00DA2C82">
        <w:rPr>
          <w:rFonts w:ascii="Tahoma" w:hAnsi="Tahoma" w:cs="Tahoma"/>
        </w:rPr>
        <w:t xml:space="preserve"> Canadá, por sua vez, </w:t>
      </w:r>
      <w:r w:rsidR="00BA7366">
        <w:rPr>
          <w:rFonts w:ascii="Tahoma" w:hAnsi="Tahoma" w:cs="Tahoma"/>
        </w:rPr>
        <w:t>não impõe qualquer restrição à integração vertical na cadeia.</w:t>
      </w:r>
      <w:r w:rsidR="000E7C15">
        <w:rPr>
          <w:rFonts w:ascii="Tahoma" w:hAnsi="Tahoma" w:cs="Tahoma"/>
        </w:rPr>
        <w:t xml:space="preserve"> </w:t>
      </w:r>
      <w:r w:rsidR="00BD118E">
        <w:rPr>
          <w:rFonts w:ascii="Tahoma" w:hAnsi="Tahoma" w:cs="Tahoma"/>
        </w:rPr>
        <w:t>No país</w:t>
      </w:r>
      <w:r w:rsidR="00F45A8A">
        <w:rPr>
          <w:rFonts w:ascii="Tahoma" w:hAnsi="Tahoma" w:cs="Tahoma"/>
        </w:rPr>
        <w:t>, a cadeia produtiva é dividida e</w:t>
      </w:r>
      <w:r w:rsidR="00BD118E">
        <w:rPr>
          <w:rFonts w:ascii="Tahoma" w:hAnsi="Tahoma" w:cs="Tahoma"/>
        </w:rPr>
        <w:t>m</w:t>
      </w:r>
      <w:r w:rsidR="00F45A8A">
        <w:rPr>
          <w:rFonts w:ascii="Tahoma" w:hAnsi="Tahoma" w:cs="Tahoma"/>
        </w:rPr>
        <w:t xml:space="preserve"> </w:t>
      </w:r>
      <w:r w:rsidR="006A3244">
        <w:rPr>
          <w:rFonts w:ascii="Tahoma" w:hAnsi="Tahoma" w:cs="Tahoma"/>
        </w:rPr>
        <w:t>produção</w:t>
      </w:r>
      <w:r w:rsidR="00B62140">
        <w:rPr>
          <w:rFonts w:ascii="Tahoma" w:hAnsi="Tahoma" w:cs="Tahoma"/>
        </w:rPr>
        <w:t xml:space="preserve"> e transporte de petróleo e gás natura</w:t>
      </w:r>
      <w:r w:rsidR="002658D0">
        <w:rPr>
          <w:rFonts w:ascii="Tahoma" w:hAnsi="Tahoma" w:cs="Tahoma"/>
        </w:rPr>
        <w:t>;</w:t>
      </w:r>
      <w:r w:rsidR="006A3244">
        <w:rPr>
          <w:rFonts w:ascii="Tahoma" w:hAnsi="Tahoma" w:cs="Tahoma"/>
        </w:rPr>
        <w:t xml:space="preserve"> refino</w:t>
      </w:r>
      <w:r w:rsidR="002658D0">
        <w:rPr>
          <w:rFonts w:ascii="Tahoma" w:hAnsi="Tahoma" w:cs="Tahoma"/>
        </w:rPr>
        <w:t>;</w:t>
      </w:r>
      <w:r w:rsidR="006A3244">
        <w:rPr>
          <w:rFonts w:ascii="Tahoma" w:hAnsi="Tahoma" w:cs="Tahoma"/>
        </w:rPr>
        <w:t xml:space="preserve"> </w:t>
      </w:r>
      <w:r w:rsidR="002658D0">
        <w:rPr>
          <w:rFonts w:ascii="Tahoma" w:hAnsi="Tahoma" w:cs="Tahoma"/>
        </w:rPr>
        <w:t>transporte</w:t>
      </w:r>
      <w:r w:rsidR="006A3244">
        <w:rPr>
          <w:rFonts w:ascii="Tahoma" w:hAnsi="Tahoma" w:cs="Tahoma"/>
        </w:rPr>
        <w:t xml:space="preserve">, </w:t>
      </w:r>
      <w:r w:rsidR="007C6207">
        <w:rPr>
          <w:rFonts w:ascii="Tahoma" w:hAnsi="Tahoma" w:cs="Tahoma"/>
        </w:rPr>
        <w:t xml:space="preserve">finalização, </w:t>
      </w:r>
      <w:r w:rsidR="006A3244">
        <w:rPr>
          <w:rFonts w:ascii="Tahoma" w:hAnsi="Tahoma" w:cs="Tahoma"/>
        </w:rPr>
        <w:t xml:space="preserve">distribuição e </w:t>
      </w:r>
      <w:r w:rsidR="007C6207">
        <w:rPr>
          <w:rFonts w:ascii="Tahoma" w:hAnsi="Tahoma" w:cs="Tahoma"/>
        </w:rPr>
        <w:t>atacado de produtos refinados; e</w:t>
      </w:r>
      <w:r w:rsidR="006A3244">
        <w:rPr>
          <w:rFonts w:ascii="Tahoma" w:hAnsi="Tahoma" w:cs="Tahoma"/>
        </w:rPr>
        <w:t xml:space="preserve"> revenda</w:t>
      </w:r>
      <w:r w:rsidR="00680F31">
        <w:rPr>
          <w:rFonts w:ascii="Tahoma" w:hAnsi="Tahoma" w:cs="Tahoma"/>
        </w:rPr>
        <w:t xml:space="preserve"> de produtos refinados.</w:t>
      </w:r>
      <w:r w:rsidR="00F45A8A">
        <w:rPr>
          <w:rFonts w:ascii="Tahoma" w:hAnsi="Tahoma" w:cs="Tahoma"/>
        </w:rPr>
        <w:t xml:space="preserve"> </w:t>
      </w:r>
      <w:r w:rsidR="00924225">
        <w:rPr>
          <w:rFonts w:ascii="Tahoma" w:hAnsi="Tahoma" w:cs="Tahoma"/>
        </w:rPr>
        <w:t>É notável a multiplicidade de</w:t>
      </w:r>
      <w:r w:rsidR="00464437">
        <w:rPr>
          <w:rFonts w:ascii="Tahoma" w:hAnsi="Tahoma" w:cs="Tahoma"/>
        </w:rPr>
        <w:t xml:space="preserve"> agentes atuando no setor de refino do país</w:t>
      </w:r>
      <w:r w:rsidR="00924225">
        <w:rPr>
          <w:rFonts w:ascii="Tahoma" w:hAnsi="Tahoma" w:cs="Tahoma"/>
        </w:rPr>
        <w:t>.</w:t>
      </w:r>
      <w:r w:rsidR="00464437">
        <w:rPr>
          <w:rFonts w:ascii="Tahoma" w:hAnsi="Tahoma" w:cs="Tahoma"/>
        </w:rPr>
        <w:t xml:space="preserve"> </w:t>
      </w:r>
    </w:p>
    <w:p w14:paraId="0D434289" w14:textId="4B32EA3C" w:rsidR="008A1470" w:rsidRDefault="006D0658">
      <w:pPr>
        <w:spacing w:after="0" w:line="360" w:lineRule="auto"/>
        <w:ind w:firstLine="7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="008A1470">
        <w:rPr>
          <w:rFonts w:ascii="Tahoma" w:hAnsi="Tahoma" w:cs="Tahoma"/>
        </w:rPr>
        <w:t xml:space="preserve">a África do Sul, </w:t>
      </w:r>
      <w:r w:rsidR="00D16B06">
        <w:rPr>
          <w:rFonts w:ascii="Tahoma" w:hAnsi="Tahoma" w:cs="Tahoma"/>
        </w:rPr>
        <w:t xml:space="preserve">em que o nível do preço de revenda é calculado com referência ao </w:t>
      </w:r>
      <w:r w:rsidR="00612D44" w:rsidRPr="005573AA">
        <w:rPr>
          <w:rFonts w:ascii="Tahoma" w:hAnsi="Tahoma" w:cs="Tahoma"/>
          <w:i/>
        </w:rPr>
        <w:t>Basic Fuels Price</w:t>
      </w:r>
      <w:r w:rsidR="00612D44">
        <w:rPr>
          <w:rFonts w:ascii="Tahoma" w:hAnsi="Tahoma" w:cs="Tahoma"/>
        </w:rPr>
        <w:t xml:space="preserve"> mais determinada margem de revenda, </w:t>
      </w:r>
      <w:r w:rsidR="00FD5E77">
        <w:rPr>
          <w:rFonts w:ascii="Tahoma" w:hAnsi="Tahoma" w:cs="Tahoma"/>
        </w:rPr>
        <w:t xml:space="preserve">considera-se não haver necessidade de vedação a integrações verticais, </w:t>
      </w:r>
      <w:r w:rsidR="00C85DE0">
        <w:rPr>
          <w:rFonts w:ascii="Tahoma" w:hAnsi="Tahoma" w:cs="Tahoma"/>
        </w:rPr>
        <w:t>sendo possível tanto que</w:t>
      </w:r>
      <w:r w:rsidR="00FD5E77">
        <w:rPr>
          <w:rFonts w:ascii="Tahoma" w:hAnsi="Tahoma" w:cs="Tahoma"/>
        </w:rPr>
        <w:t xml:space="preserve"> </w:t>
      </w:r>
      <w:r w:rsidR="00683412">
        <w:rPr>
          <w:rFonts w:ascii="Tahoma" w:hAnsi="Tahoma" w:cs="Tahoma"/>
        </w:rPr>
        <w:t>produtores quanto distribuidores de combustíveis detenham postos de revenda, já</w:t>
      </w:r>
      <w:r w:rsidR="00FD5E77">
        <w:rPr>
          <w:rFonts w:ascii="Tahoma" w:hAnsi="Tahoma" w:cs="Tahoma"/>
        </w:rPr>
        <w:t xml:space="preserve"> qu</w:t>
      </w:r>
      <w:r w:rsidR="00C85DE0">
        <w:rPr>
          <w:rFonts w:ascii="Tahoma" w:hAnsi="Tahoma" w:cs="Tahoma"/>
        </w:rPr>
        <w:t xml:space="preserve">e teoricamente não </w:t>
      </w:r>
      <w:r w:rsidR="00683412">
        <w:rPr>
          <w:rFonts w:ascii="Tahoma" w:hAnsi="Tahoma" w:cs="Tahoma"/>
        </w:rPr>
        <w:t>poderia haver</w:t>
      </w:r>
      <w:r w:rsidR="00C85DE0">
        <w:rPr>
          <w:rFonts w:ascii="Tahoma" w:hAnsi="Tahoma" w:cs="Tahoma"/>
        </w:rPr>
        <w:t xml:space="preserve"> diferenças </w:t>
      </w:r>
      <w:r w:rsidR="00706709">
        <w:rPr>
          <w:rFonts w:ascii="Tahoma" w:hAnsi="Tahoma" w:cs="Tahoma"/>
        </w:rPr>
        <w:t>significativas</w:t>
      </w:r>
      <w:r w:rsidR="00C85DE0">
        <w:rPr>
          <w:rFonts w:ascii="Tahoma" w:hAnsi="Tahoma" w:cs="Tahoma"/>
        </w:rPr>
        <w:t xml:space="preserve"> entre os preços praticados</w:t>
      </w:r>
      <w:r w:rsidR="00706709">
        <w:rPr>
          <w:rFonts w:ascii="Tahoma" w:hAnsi="Tahoma" w:cs="Tahoma"/>
        </w:rPr>
        <w:t>.</w:t>
      </w:r>
      <w:r w:rsidR="00612D44">
        <w:rPr>
          <w:rFonts w:ascii="Tahoma" w:hAnsi="Tahoma" w:cs="Tahoma"/>
        </w:rPr>
        <w:t xml:space="preserve"> </w:t>
      </w:r>
      <w:r w:rsidR="00EF7461">
        <w:rPr>
          <w:rFonts w:ascii="Tahoma" w:hAnsi="Tahoma" w:cs="Tahoma"/>
        </w:rPr>
        <w:t xml:space="preserve">A cadeia é dividida entre produção e </w:t>
      </w:r>
      <w:r w:rsidR="001770BC">
        <w:rPr>
          <w:rFonts w:ascii="Tahoma" w:hAnsi="Tahoma" w:cs="Tahoma"/>
        </w:rPr>
        <w:t>refino</w:t>
      </w:r>
      <w:r w:rsidR="00EF7461">
        <w:rPr>
          <w:rFonts w:ascii="Tahoma" w:hAnsi="Tahoma" w:cs="Tahoma"/>
        </w:rPr>
        <w:t xml:space="preserve">, </w:t>
      </w:r>
      <w:r w:rsidR="001770BC">
        <w:rPr>
          <w:rFonts w:ascii="Tahoma" w:hAnsi="Tahoma" w:cs="Tahoma"/>
        </w:rPr>
        <w:t>armazenamento</w:t>
      </w:r>
      <w:r w:rsidR="00523DCF">
        <w:rPr>
          <w:rFonts w:ascii="Tahoma" w:hAnsi="Tahoma" w:cs="Tahoma"/>
        </w:rPr>
        <w:t xml:space="preserve">, distribuição em atacado e revenda. </w:t>
      </w:r>
    </w:p>
    <w:p w14:paraId="6F6DFC1A" w14:textId="123A2FD2" w:rsidR="005E5BEA" w:rsidRDefault="000232ED" w:rsidP="005573AA">
      <w:pPr>
        <w:spacing w:after="0" w:line="360" w:lineRule="auto"/>
        <w:ind w:firstLine="7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Dentre as possíveis formas de relação vertical, a</w:t>
      </w:r>
      <w:r w:rsidR="005E5BEA" w:rsidRPr="001271C0">
        <w:rPr>
          <w:rFonts w:ascii="Tahoma" w:hAnsi="Tahoma" w:cs="Tahoma"/>
        </w:rPr>
        <w:t xml:space="preserve"> presença de cláusulas de exclusividade </w:t>
      </w:r>
      <w:r w:rsidR="005E5BEA" w:rsidRPr="00683947">
        <w:rPr>
          <w:rFonts w:ascii="Tahoma" w:hAnsi="Tahoma" w:cs="Tahoma"/>
        </w:rPr>
        <w:t xml:space="preserve">entre distribuidor e revendedor com tutela regulatória é regra na experiência internacional. </w:t>
      </w:r>
      <w:r w:rsidR="00400121">
        <w:rPr>
          <w:rFonts w:ascii="Tahoma" w:hAnsi="Tahoma" w:cs="Tahoma"/>
        </w:rPr>
        <w:t>Em m</w:t>
      </w:r>
      <w:r w:rsidR="005E5BEA" w:rsidRPr="00571EB4">
        <w:rPr>
          <w:rFonts w:ascii="Tahoma" w:hAnsi="Tahoma" w:cs="Tahoma"/>
        </w:rPr>
        <w:t xml:space="preserve">ercados </w:t>
      </w:r>
      <w:r w:rsidR="00400121">
        <w:rPr>
          <w:rFonts w:ascii="Tahoma" w:hAnsi="Tahoma" w:cs="Tahoma"/>
        </w:rPr>
        <w:t>como</w:t>
      </w:r>
      <w:r w:rsidR="00400121" w:rsidRPr="00571EB4">
        <w:rPr>
          <w:rFonts w:ascii="Tahoma" w:hAnsi="Tahoma" w:cs="Tahoma"/>
        </w:rPr>
        <w:t xml:space="preserve"> </w:t>
      </w:r>
      <w:r w:rsidR="005E5BEA" w:rsidRPr="00571EB4">
        <w:rPr>
          <w:rFonts w:ascii="Tahoma" w:hAnsi="Tahoma" w:cs="Tahoma"/>
        </w:rPr>
        <w:t>Estados Unidos, Reino Unido, Alemanha, Holanda, Argentina, Austrália, Tailândia, Turquia, Chile e México</w:t>
      </w:r>
      <w:r w:rsidR="005E5BEA">
        <w:rPr>
          <w:rStyle w:val="FootnoteReference"/>
          <w:rFonts w:ascii="Tahoma" w:hAnsi="Tahoma" w:cs="Tahoma"/>
        </w:rPr>
        <w:footnoteReference w:id="14"/>
      </w:r>
      <w:r w:rsidR="005E5BEA" w:rsidRPr="00571EB4">
        <w:rPr>
          <w:rFonts w:ascii="Tahoma" w:hAnsi="Tahoma" w:cs="Tahoma"/>
        </w:rPr>
        <w:t xml:space="preserve"> </w:t>
      </w:r>
      <w:r w:rsidR="005A6F44">
        <w:rPr>
          <w:rFonts w:ascii="Tahoma" w:hAnsi="Tahoma" w:cs="Tahoma"/>
        </w:rPr>
        <w:t xml:space="preserve"> observa</w:t>
      </w:r>
      <w:r w:rsidR="005E5BEA" w:rsidRPr="00571EB4">
        <w:rPr>
          <w:rFonts w:ascii="Tahoma" w:hAnsi="Tahoma" w:cs="Tahoma"/>
        </w:rPr>
        <w:t xml:space="preserve">-se que, em todos, </w:t>
      </w:r>
      <w:r w:rsidR="005E5BEA" w:rsidRPr="00683947">
        <w:rPr>
          <w:rFonts w:ascii="Tahoma" w:hAnsi="Tahoma" w:cs="Tahoma"/>
        </w:rPr>
        <w:t>os contratos de fornecimento</w:t>
      </w:r>
      <w:r w:rsidR="005E5BEA" w:rsidRPr="001271C0">
        <w:rPr>
          <w:rFonts w:ascii="Tahoma" w:hAnsi="Tahoma" w:cs="Tahoma"/>
        </w:rPr>
        <w:t xml:space="preserve"> firmados entre distribuidores e revendedores de combustíveis apresentavam cláusulas de exclusividade vigentes durante o todo o contrato, além de exigências relativas à qualidade do produto e de exigências de cunho ambiental. No mais,  os órgãos reguladores também fiscalizam essas relações.</w:t>
      </w:r>
    </w:p>
    <w:p w14:paraId="3258040A" w14:textId="0E4662F9" w:rsidR="00072636" w:rsidRDefault="00072636" w:rsidP="00072636">
      <w:pPr>
        <w:spacing w:after="0" w:line="360" w:lineRule="auto"/>
        <w:ind w:firstLine="7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Por fim, não h</w:t>
      </w:r>
      <w:r w:rsidR="00984BC0">
        <w:rPr>
          <w:rFonts w:ascii="Tahoma" w:hAnsi="Tahoma" w:cs="Tahoma"/>
        </w:rPr>
        <w:t>averia</w:t>
      </w:r>
      <w:r>
        <w:rPr>
          <w:rFonts w:ascii="Tahoma" w:hAnsi="Tahoma" w:cs="Tahoma"/>
        </w:rPr>
        <w:t xml:space="preserve"> nenhuma evidência direta de que, em países em que se permite a verticalização, os preços dos combustíveis são inferiores aos dos demais países por conta deste motivo, ou mesmo de que a concorrência seja mais acirrada devido à permissão da verticalização. </w:t>
      </w:r>
    </w:p>
    <w:p w14:paraId="4199F75E" w14:textId="379B2193" w:rsidR="00E505E1" w:rsidRDefault="00B535D1" w:rsidP="00DA6CC0">
      <w:pPr>
        <w:spacing w:after="0" w:line="36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="00E505E1">
        <w:rPr>
          <w:rFonts w:ascii="Tahoma" w:hAnsi="Tahoma" w:cs="Tahoma"/>
        </w:rPr>
        <w:t xml:space="preserve">o Brasil, </w:t>
      </w:r>
      <w:r w:rsidR="00894481">
        <w:rPr>
          <w:rFonts w:ascii="Tahoma" w:hAnsi="Tahoma" w:cs="Tahoma"/>
        </w:rPr>
        <w:t>a regulação veda a verticalização da revenda com o produtor e também com o distribuidor. A</w:t>
      </w:r>
      <w:r w:rsidR="00E505E1">
        <w:rPr>
          <w:rFonts w:ascii="Tahoma" w:hAnsi="Tahoma" w:cs="Tahoma"/>
        </w:rPr>
        <w:t>té meados da década de 1990</w:t>
      </w:r>
      <w:r w:rsidR="00894481">
        <w:rPr>
          <w:rFonts w:ascii="Tahoma" w:hAnsi="Tahoma" w:cs="Tahoma"/>
        </w:rPr>
        <w:t>, o</w:t>
      </w:r>
      <w:r w:rsidR="00894481" w:rsidRPr="00E73342">
        <w:rPr>
          <w:rFonts w:ascii="Tahoma" w:hAnsi="Tahoma" w:cs="Tahoma"/>
        </w:rPr>
        <w:t xml:space="preserve"> mercado de revenda de combustíveis</w:t>
      </w:r>
      <w:r w:rsidR="00894481">
        <w:rPr>
          <w:rFonts w:ascii="Tahoma" w:hAnsi="Tahoma" w:cs="Tahoma"/>
        </w:rPr>
        <w:t>, que era</w:t>
      </w:r>
      <w:r w:rsidR="00E505E1" w:rsidRPr="00E73342">
        <w:rPr>
          <w:rFonts w:ascii="Tahoma" w:hAnsi="Tahoma" w:cs="Tahoma"/>
        </w:rPr>
        <w:t xml:space="preserve"> restrito a postos com contrato de exclusividade com distribuidoras </w:t>
      </w:r>
      <w:r w:rsidR="00E505E1" w:rsidRPr="00E73342">
        <w:rPr>
          <w:rFonts w:ascii="Tahoma" w:hAnsi="Tahoma" w:cs="Tahoma"/>
        </w:rPr>
        <w:lastRenderedPageBreak/>
        <w:t>(postos bandeirados), passou a contar com um novo segmento</w:t>
      </w:r>
      <w:r w:rsidR="00E505E1">
        <w:rPr>
          <w:rFonts w:ascii="Tahoma" w:hAnsi="Tahoma" w:cs="Tahoma"/>
        </w:rPr>
        <w:t>:</w:t>
      </w:r>
      <w:r w:rsidR="00E505E1" w:rsidRPr="00E73342">
        <w:rPr>
          <w:rFonts w:ascii="Tahoma" w:hAnsi="Tahoma" w:cs="Tahoma"/>
        </w:rPr>
        <w:t xml:space="preserve"> os revendedores com marca própria</w:t>
      </w:r>
      <w:r w:rsidR="00E505E1">
        <w:rPr>
          <w:rFonts w:ascii="Tahoma" w:hAnsi="Tahoma" w:cs="Tahoma"/>
        </w:rPr>
        <w:t xml:space="preserve"> (também conhecidos como postos bandeira branca)</w:t>
      </w:r>
      <w:r w:rsidR="00E505E1" w:rsidRPr="00E73342">
        <w:rPr>
          <w:rFonts w:ascii="Tahoma" w:hAnsi="Tahoma" w:cs="Tahoma"/>
        </w:rPr>
        <w:t>, que não se vinculam por contratos de exclusividade a nenhuma distribuidora</w:t>
      </w:r>
      <w:r w:rsidR="00E505E1">
        <w:rPr>
          <w:rFonts w:ascii="Tahoma" w:hAnsi="Tahoma" w:cs="Tahoma"/>
        </w:rPr>
        <w:t>. Assim, a decisão relativa ao arranjo a ser utilizado pelo revendedor faz parte da livre iniciativa dos agentes econômicos</w:t>
      </w:r>
      <w:r w:rsidR="00F66F39">
        <w:rPr>
          <w:rFonts w:ascii="Tahoma" w:hAnsi="Tahoma" w:cs="Tahoma"/>
        </w:rPr>
        <w:t>.</w:t>
      </w:r>
      <w:r w:rsidR="00E505E1">
        <w:rPr>
          <w:rFonts w:ascii="Tahoma" w:hAnsi="Tahoma" w:cs="Tahoma"/>
        </w:rPr>
        <w:t xml:space="preserve"> </w:t>
      </w:r>
      <w:r w:rsidR="00F66F39">
        <w:rPr>
          <w:rFonts w:ascii="Tahoma" w:hAnsi="Tahoma" w:cs="Tahoma"/>
        </w:rPr>
        <w:t>Com efeito</w:t>
      </w:r>
      <w:r w:rsidR="00DA6CC0">
        <w:rPr>
          <w:rFonts w:ascii="Tahoma" w:hAnsi="Tahoma" w:cs="Tahoma"/>
        </w:rPr>
        <w:t xml:space="preserve">, existem </w:t>
      </w:r>
      <w:r w:rsidR="00894481">
        <w:rPr>
          <w:rFonts w:ascii="Tahoma" w:hAnsi="Tahoma" w:cs="Tahoma"/>
        </w:rPr>
        <w:t xml:space="preserve">atualmente </w:t>
      </w:r>
      <w:r w:rsidR="00DA6CC0">
        <w:rPr>
          <w:rFonts w:ascii="Tahoma" w:hAnsi="Tahoma" w:cs="Tahoma"/>
        </w:rPr>
        <w:t xml:space="preserve">diversos modelos de relacionamento vertical entre distribuidores e revendedores, que se materializam em contratos que variam conforme a forma da operação do posto (com marca da distribuidora ou com marca própria), a propriedade dos ativos (terreno e outros, como os operacionais) e o nível de integração entre a distribuidora e o revendedor. </w:t>
      </w:r>
    </w:p>
    <w:p w14:paraId="48CCCBC5" w14:textId="61E907B7" w:rsidR="007F55AD" w:rsidRDefault="007F55AD" w:rsidP="005573AA">
      <w:pPr>
        <w:spacing w:after="0" w:line="36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Em termos práticos, revendedores têm duas possibilidades: ou podem optar por se vincular a uma marca específica de uma distribuidora de combustíveis (nacional, regional ou mesmo local), ou podem ter sua marca própria. Os primeiros (postos bandeirados), por sua vez, podem ter</w:t>
      </w:r>
      <w:r w:rsidRPr="00FF25D5">
        <w:rPr>
          <w:rFonts w:ascii="Tahoma" w:hAnsi="Tahoma" w:cs="Tahoma"/>
        </w:rPr>
        <w:t xml:space="preserve"> diferentes graus de integração contratual com as distribuidoras</w:t>
      </w:r>
      <w:r>
        <w:rPr>
          <w:rFonts w:ascii="Tahoma" w:hAnsi="Tahoma" w:cs="Tahoma"/>
        </w:rPr>
        <w:t>, que variam de</w:t>
      </w:r>
      <w:r w:rsidRPr="00FF25D5">
        <w:rPr>
          <w:rFonts w:ascii="Tahoma" w:hAnsi="Tahoma" w:cs="Tahoma"/>
        </w:rPr>
        <w:t xml:space="preserve"> investimentos em marketing até a propriedade de equipamentos e terreno, mais raros desde meados dos anos 2000</w:t>
      </w:r>
      <w:r>
        <w:rPr>
          <w:rFonts w:ascii="Tahoma" w:hAnsi="Tahoma" w:cs="Tahoma"/>
        </w:rPr>
        <w:t xml:space="preserve"> no país</w:t>
      </w:r>
      <w:r w:rsidRPr="00FF25D5">
        <w:rPr>
          <w:rFonts w:ascii="Tahoma" w:hAnsi="Tahoma" w:cs="Tahoma"/>
        </w:rPr>
        <w:t>.</w:t>
      </w:r>
      <w:r>
        <w:rPr>
          <w:rFonts w:ascii="Tahoma" w:hAnsi="Tahoma" w:cs="Tahoma"/>
        </w:rPr>
        <w:t xml:space="preserve"> Já os segundos, revendedores que decidem adotar marca própria, detêm os ativos do negócio e possuem total liberdade para adquirir combustíveis de mais de um distribuidor e autonomia sobre o gerenciamento do negócio. </w:t>
      </w:r>
    </w:p>
    <w:p w14:paraId="4AB3B76D" w14:textId="7EAA6F62" w:rsidR="00E505E1" w:rsidRDefault="00F66F39" w:rsidP="00E505E1">
      <w:pPr>
        <w:spacing w:after="0" w:line="360" w:lineRule="auto"/>
        <w:ind w:firstLine="7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</w:t>
      </w:r>
      <w:r w:rsidR="00DA6CC0">
        <w:rPr>
          <w:rFonts w:ascii="Tahoma" w:hAnsi="Tahoma" w:cs="Tahoma"/>
        </w:rPr>
        <w:t>ste</w:t>
      </w:r>
      <w:r w:rsidR="00E505E1">
        <w:rPr>
          <w:rFonts w:ascii="Tahoma" w:hAnsi="Tahoma" w:cs="Tahoma"/>
        </w:rPr>
        <w:t xml:space="preserve"> modelo regulatório, estruturado em torno da tutela da relação vertical contratual entre distribuidoras e revendedoras (contratos de exclusividade), sem prejuízo da possibilidade de que os revendedores que optarem por não se vincular à marca das distribuidoras possam ter sua marca própria,</w:t>
      </w:r>
      <w:r w:rsidR="00E505E1" w:rsidRPr="00F46894">
        <w:rPr>
          <w:rFonts w:ascii="Times New Roman" w:hAnsi="Times New Roman" w:cs="Times New Roman"/>
          <w:sz w:val="24"/>
          <w:szCs w:val="24"/>
        </w:rPr>
        <w:t xml:space="preserve"> </w:t>
      </w:r>
      <w:r w:rsidR="00E505E1" w:rsidRPr="00F46894">
        <w:rPr>
          <w:rFonts w:ascii="Tahoma" w:hAnsi="Tahoma" w:cs="Tahoma"/>
        </w:rPr>
        <w:t xml:space="preserve">serve como mecanismo de governança que </w:t>
      </w:r>
      <w:r>
        <w:rPr>
          <w:rFonts w:ascii="Tahoma" w:hAnsi="Tahoma" w:cs="Tahoma"/>
        </w:rPr>
        <w:t xml:space="preserve">traz consigo um conjunto de eficiências, tais como a </w:t>
      </w:r>
      <w:r w:rsidR="00E505E1" w:rsidRPr="00F46894">
        <w:rPr>
          <w:rFonts w:ascii="Tahoma" w:hAnsi="Tahoma" w:cs="Tahoma"/>
        </w:rPr>
        <w:t>redu</w:t>
      </w:r>
      <w:r>
        <w:rPr>
          <w:rFonts w:ascii="Tahoma" w:hAnsi="Tahoma" w:cs="Tahoma"/>
        </w:rPr>
        <w:t xml:space="preserve">ção da </w:t>
      </w:r>
      <w:r w:rsidR="00E505E1" w:rsidRPr="00F46894">
        <w:rPr>
          <w:rFonts w:ascii="Tahoma" w:hAnsi="Tahoma" w:cs="Tahoma"/>
        </w:rPr>
        <w:t>incerteza</w:t>
      </w:r>
      <w:r>
        <w:rPr>
          <w:rFonts w:ascii="Tahoma" w:hAnsi="Tahoma" w:cs="Tahoma"/>
        </w:rPr>
        <w:t xml:space="preserve"> e a </w:t>
      </w:r>
      <w:r w:rsidR="00E505E1" w:rsidRPr="00B844AC">
        <w:rPr>
          <w:rFonts w:ascii="Tahoma" w:hAnsi="Tahoma" w:cs="Tahoma"/>
        </w:rPr>
        <w:t>realização de investimentos de diferenciação por parte das distribuidoras</w:t>
      </w:r>
      <w:r w:rsidR="00E505E1">
        <w:rPr>
          <w:rFonts w:ascii="Tahoma" w:hAnsi="Tahoma" w:cs="Tahoma"/>
        </w:rPr>
        <w:t xml:space="preserve">. </w:t>
      </w:r>
      <w:r>
        <w:rPr>
          <w:rFonts w:ascii="Tahoma" w:hAnsi="Tahoma" w:cs="Tahoma"/>
        </w:rPr>
        <w:t>O</w:t>
      </w:r>
      <w:r w:rsidR="00E505E1">
        <w:rPr>
          <w:rFonts w:ascii="Tahoma" w:hAnsi="Tahoma" w:cs="Tahoma"/>
        </w:rPr>
        <w:t xml:space="preserve"> modelo atual </w:t>
      </w:r>
      <w:r w:rsidR="00E505E1" w:rsidRPr="00B844AC">
        <w:rPr>
          <w:rFonts w:ascii="Tahoma" w:hAnsi="Tahoma" w:cs="Tahoma"/>
        </w:rPr>
        <w:t xml:space="preserve">também </w:t>
      </w:r>
      <w:r w:rsidR="00E505E1">
        <w:rPr>
          <w:rFonts w:ascii="Tahoma" w:hAnsi="Tahoma" w:cs="Tahoma"/>
        </w:rPr>
        <w:t>diminui</w:t>
      </w:r>
      <w:r w:rsidR="005A6F44">
        <w:rPr>
          <w:rFonts w:ascii="Tahoma" w:hAnsi="Tahoma" w:cs="Tahoma"/>
        </w:rPr>
        <w:t>ria</w:t>
      </w:r>
      <w:r w:rsidR="00E505E1">
        <w:rPr>
          <w:rFonts w:ascii="Tahoma" w:hAnsi="Tahoma" w:cs="Tahoma"/>
        </w:rPr>
        <w:t xml:space="preserve"> </w:t>
      </w:r>
      <w:r w:rsidR="00E505E1" w:rsidRPr="00B844AC">
        <w:rPr>
          <w:rFonts w:ascii="Tahoma" w:hAnsi="Tahoma" w:cs="Tahoma"/>
        </w:rPr>
        <w:t xml:space="preserve">os riscos de adoção de práticas anticompetitivas e lesivas ao consumidor brasileiro. Além disso, </w:t>
      </w:r>
      <w:r>
        <w:rPr>
          <w:rFonts w:ascii="Tahoma" w:hAnsi="Tahoma" w:cs="Tahoma"/>
        </w:rPr>
        <w:t xml:space="preserve">por meio dos </w:t>
      </w:r>
      <w:r w:rsidR="00E505E1" w:rsidRPr="00B844AC">
        <w:rPr>
          <w:rFonts w:ascii="Tahoma" w:hAnsi="Tahoma" w:cs="Tahoma"/>
        </w:rPr>
        <w:t>contratos de exclusividade, as distribuidoras se tornam financiadoras da expansão das redes revendedoras e garantem a qualidade da oferta do produto.</w:t>
      </w:r>
    </w:p>
    <w:p w14:paraId="18407B41" w14:textId="0112B402" w:rsidR="008679E7" w:rsidRDefault="007F55AD" w:rsidP="008679E7">
      <w:pPr>
        <w:pStyle w:val="ListParagraph"/>
        <w:spacing w:after="0" w:line="360" w:lineRule="auto"/>
        <w:ind w:left="0" w:firstLine="708"/>
        <w:jc w:val="both"/>
        <w:rPr>
          <w:rFonts w:ascii="Tahoma" w:hAnsi="Tahoma" w:cs="Tahoma"/>
          <w:b/>
        </w:rPr>
      </w:pPr>
      <w:r>
        <w:rPr>
          <w:rFonts w:ascii="Tahoma" w:hAnsi="Tahoma" w:cs="Tahoma"/>
        </w:rPr>
        <w:t>É nesse contexto que</w:t>
      </w:r>
      <w:r w:rsidR="00682F38">
        <w:rPr>
          <w:rFonts w:ascii="Tahoma" w:hAnsi="Tahoma" w:cs="Tahoma"/>
        </w:rPr>
        <w:t xml:space="preserve">, ao menos no presente estado da discussão, </w:t>
      </w:r>
      <w:r w:rsidR="006653B1">
        <w:rPr>
          <w:rFonts w:ascii="Tahoma" w:hAnsi="Tahoma" w:cs="Tahoma"/>
        </w:rPr>
        <w:t xml:space="preserve">não há garantia das supostas vantagens que um modelo regulatório que permitisse a verticalização apresentaria frente ao que atualmente existe no Brasil. </w:t>
      </w:r>
    </w:p>
    <w:p w14:paraId="58FB88B4" w14:textId="776A0EBF" w:rsidR="008679E7" w:rsidRDefault="008679E7" w:rsidP="00BC594B">
      <w:pPr>
        <w:spacing w:after="0" w:line="360" w:lineRule="auto"/>
        <w:ind w:firstLine="7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Apesar dos benefícios </w:t>
      </w:r>
      <w:r w:rsidR="00940EAD">
        <w:rPr>
          <w:rFonts w:ascii="Tahoma" w:hAnsi="Tahoma" w:cs="Tahoma"/>
        </w:rPr>
        <w:t xml:space="preserve">esperados </w:t>
      </w:r>
      <w:r>
        <w:rPr>
          <w:rFonts w:ascii="Tahoma" w:hAnsi="Tahoma" w:cs="Tahoma"/>
        </w:rPr>
        <w:t>ao bem-estar do consumidor, oriundos das</w:t>
      </w:r>
      <w:r w:rsidRPr="008B4CA8">
        <w:rPr>
          <w:rFonts w:ascii="Tahoma" w:hAnsi="Tahoma" w:cs="Tahoma"/>
        </w:rPr>
        <w:t xml:space="preserve"> eficiências</w:t>
      </w:r>
      <w:r>
        <w:rPr>
          <w:rFonts w:ascii="Tahoma" w:hAnsi="Tahoma" w:cs="Tahoma"/>
        </w:rPr>
        <w:t xml:space="preserve"> econômicas normalmente</w:t>
      </w:r>
      <w:r w:rsidRPr="008B4CA8">
        <w:rPr>
          <w:rFonts w:ascii="Tahoma" w:hAnsi="Tahoma" w:cs="Tahoma"/>
        </w:rPr>
        <w:t xml:space="preserve"> associadas </w:t>
      </w:r>
      <w:r>
        <w:rPr>
          <w:rFonts w:ascii="Tahoma" w:hAnsi="Tahoma" w:cs="Tahoma"/>
        </w:rPr>
        <w:t>à</w:t>
      </w:r>
      <w:r w:rsidRPr="008B4CA8">
        <w:rPr>
          <w:rFonts w:ascii="Tahoma" w:hAnsi="Tahoma" w:cs="Tahoma"/>
        </w:rPr>
        <w:t xml:space="preserve"> redução de custos de transação</w:t>
      </w:r>
      <w:r>
        <w:rPr>
          <w:rFonts w:ascii="Tahoma" w:hAnsi="Tahoma" w:cs="Tahoma"/>
        </w:rPr>
        <w:t>, há de se considerar que, a verticalização pode</w:t>
      </w:r>
      <w:r w:rsidR="005A6F44">
        <w:rPr>
          <w:rFonts w:ascii="Tahoma" w:hAnsi="Tahoma" w:cs="Tahoma"/>
        </w:rPr>
        <w:t>ria</w:t>
      </w:r>
      <w:r>
        <w:rPr>
          <w:rFonts w:ascii="Tahoma" w:hAnsi="Tahoma" w:cs="Tahoma"/>
        </w:rPr>
        <w:t xml:space="preserve"> </w:t>
      </w:r>
      <w:r w:rsidRPr="008B4CA8">
        <w:rPr>
          <w:rFonts w:ascii="Tahoma" w:hAnsi="Tahoma" w:cs="Tahoma"/>
        </w:rPr>
        <w:t>não impactar</w:t>
      </w:r>
      <w:r>
        <w:rPr>
          <w:rFonts w:ascii="Tahoma" w:hAnsi="Tahoma" w:cs="Tahoma"/>
        </w:rPr>
        <w:t xml:space="preserve"> </w:t>
      </w:r>
      <w:r w:rsidRPr="008B4CA8">
        <w:rPr>
          <w:rFonts w:ascii="Tahoma" w:hAnsi="Tahoma" w:cs="Tahoma"/>
        </w:rPr>
        <w:t xml:space="preserve">de maneira significativa o </w:t>
      </w:r>
      <w:r w:rsidRPr="008B4CA8">
        <w:rPr>
          <w:rFonts w:ascii="Tahoma" w:hAnsi="Tahoma" w:cs="Tahoma"/>
        </w:rPr>
        <w:lastRenderedPageBreak/>
        <w:t>preço</w:t>
      </w:r>
      <w:r>
        <w:rPr>
          <w:rFonts w:ascii="Tahoma" w:hAnsi="Tahoma" w:cs="Tahoma"/>
        </w:rPr>
        <w:t xml:space="preserve"> final dos combustíveis</w:t>
      </w:r>
      <w:r w:rsidR="005A6F44">
        <w:rPr>
          <w:rFonts w:ascii="Tahoma" w:hAnsi="Tahoma" w:cs="Tahoma"/>
        </w:rPr>
        <w:t>.</w:t>
      </w:r>
      <w:r>
        <w:rPr>
          <w:rFonts w:ascii="Tahoma" w:hAnsi="Tahoma" w:cs="Tahoma"/>
        </w:rPr>
        <w:t xml:space="preserve"> </w:t>
      </w:r>
      <w:r w:rsidR="005A6F44">
        <w:rPr>
          <w:rFonts w:ascii="Tahoma" w:hAnsi="Tahoma" w:cs="Tahoma"/>
        </w:rPr>
        <w:t>Nesse sentido, pensamos que</w:t>
      </w:r>
      <w:r w:rsidR="00072636">
        <w:rPr>
          <w:rFonts w:ascii="Tahoma" w:hAnsi="Tahoma" w:cs="Tahoma"/>
        </w:rPr>
        <w:t xml:space="preserve"> e</w:t>
      </w:r>
      <w:r>
        <w:rPr>
          <w:rFonts w:ascii="Tahoma" w:hAnsi="Tahoma" w:cs="Tahoma"/>
        </w:rPr>
        <w:t xml:space="preserve">studos mais detalhados sobre o mercado brasileiro deveriam ser elaborados e discutidos no âmbito da ANP para demonstrar ou sugerir o real impacto da verticalização nos preços dos combustíveis. </w:t>
      </w:r>
    </w:p>
    <w:p w14:paraId="24B65D35" w14:textId="40B74A82" w:rsidR="007053D4" w:rsidRDefault="00894481" w:rsidP="00BC594B">
      <w:pPr>
        <w:pStyle w:val="ListParagraph"/>
        <w:spacing w:after="0" w:line="360" w:lineRule="auto"/>
        <w:ind w:left="0" w:firstLine="7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Por tudo quanto exposto,</w:t>
      </w:r>
      <w:r w:rsidRPr="002B12F8">
        <w:rPr>
          <w:rFonts w:ascii="Tahoma" w:hAnsi="Tahoma" w:cs="Tahoma"/>
        </w:rPr>
        <w:t xml:space="preserve"> </w:t>
      </w:r>
      <w:r w:rsidR="00984BC0">
        <w:rPr>
          <w:rFonts w:ascii="Tahoma" w:hAnsi="Tahoma" w:cs="Tahoma"/>
        </w:rPr>
        <w:t xml:space="preserve">entendemos que </w:t>
      </w:r>
      <w:r w:rsidRPr="002B12F8">
        <w:rPr>
          <w:rFonts w:ascii="Tahoma" w:hAnsi="Tahoma" w:cs="Tahoma"/>
        </w:rPr>
        <w:t>não h</w:t>
      </w:r>
      <w:r w:rsidR="00984BC0">
        <w:rPr>
          <w:rFonts w:ascii="Tahoma" w:hAnsi="Tahoma" w:cs="Tahoma"/>
        </w:rPr>
        <w:t>averia</w:t>
      </w:r>
      <w:r w:rsidRPr="002B12F8">
        <w:rPr>
          <w:rFonts w:ascii="Tahoma" w:hAnsi="Tahoma" w:cs="Tahoma"/>
        </w:rPr>
        <w:t xml:space="preserve"> garantia das</w:t>
      </w:r>
      <w:r w:rsidR="0007153A">
        <w:rPr>
          <w:rFonts w:ascii="Tahoma" w:hAnsi="Tahoma" w:cs="Tahoma"/>
        </w:rPr>
        <w:t xml:space="preserve"> supostamente esperadas</w:t>
      </w:r>
      <w:r w:rsidR="0007153A" w:rsidRPr="002B12F8">
        <w:rPr>
          <w:rFonts w:ascii="Tahoma" w:hAnsi="Tahoma" w:cs="Tahoma"/>
        </w:rPr>
        <w:t xml:space="preserve"> </w:t>
      </w:r>
      <w:r w:rsidRPr="002B12F8">
        <w:rPr>
          <w:rFonts w:ascii="Tahoma" w:hAnsi="Tahoma" w:cs="Tahoma"/>
        </w:rPr>
        <w:t xml:space="preserve">vantagens que um processo de verticalização </w:t>
      </w:r>
      <w:r w:rsidR="0080366F">
        <w:rPr>
          <w:rFonts w:ascii="Tahoma" w:hAnsi="Tahoma" w:cs="Tahoma"/>
        </w:rPr>
        <w:t xml:space="preserve">entre distribuidores e revendedores </w:t>
      </w:r>
      <w:r w:rsidRPr="002B12F8">
        <w:rPr>
          <w:rFonts w:ascii="Tahoma" w:hAnsi="Tahoma" w:cs="Tahoma"/>
        </w:rPr>
        <w:t>no mercado de combustíveis apresentaria em relação ao modelo atual.</w:t>
      </w:r>
      <w:r w:rsidR="0080366F">
        <w:rPr>
          <w:rFonts w:ascii="Tahoma" w:hAnsi="Tahoma" w:cs="Tahoma"/>
        </w:rPr>
        <w:t xml:space="preserve"> </w:t>
      </w:r>
      <w:r w:rsidR="008D57F5">
        <w:rPr>
          <w:rFonts w:ascii="Tahoma" w:hAnsi="Tahoma" w:cs="Tahoma"/>
        </w:rPr>
        <w:t xml:space="preserve"> </w:t>
      </w:r>
    </w:p>
    <w:p w14:paraId="4BFE878D" w14:textId="77777777" w:rsidR="00396AC2" w:rsidRDefault="00396AC2" w:rsidP="005573AA">
      <w:pPr>
        <w:spacing w:after="0" w:line="360" w:lineRule="auto"/>
        <w:jc w:val="both"/>
        <w:rPr>
          <w:rFonts w:ascii="Tahoma" w:hAnsi="Tahoma" w:cs="Tahoma"/>
        </w:rPr>
      </w:pPr>
    </w:p>
    <w:p w14:paraId="46432999" w14:textId="6BD322A4" w:rsidR="00172054" w:rsidRPr="00984BC0" w:rsidRDefault="00984BC0" w:rsidP="00984BC0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ahoma" w:hAnsi="Tahoma" w:cs="Tahoma"/>
          <w:b/>
        </w:rPr>
        <w:t xml:space="preserve">DA </w:t>
      </w:r>
      <w:r w:rsidR="00F33EC5" w:rsidRPr="00984BC0">
        <w:rPr>
          <w:rFonts w:ascii="Tahoma" w:hAnsi="Tahoma" w:cs="Tahoma"/>
          <w:b/>
        </w:rPr>
        <w:t>CONCLUSÃO</w:t>
      </w:r>
    </w:p>
    <w:p w14:paraId="382CC248" w14:textId="2905EFEA" w:rsidR="00A5760E" w:rsidRPr="00172054" w:rsidRDefault="00C46619" w:rsidP="001720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ahoma" w:hAnsi="Tahoma" w:cs="Tahoma"/>
        </w:rPr>
        <w:t>H</w:t>
      </w:r>
      <w:r w:rsidR="00D315A9" w:rsidRPr="00172054">
        <w:rPr>
          <w:rFonts w:ascii="Tahoma" w:hAnsi="Tahoma" w:cs="Tahoma"/>
        </w:rPr>
        <w:t xml:space="preserve">á evidências concretas de que os efeitos da verticalização são complexos e por vezes imprevisíveis, </w:t>
      </w:r>
      <w:r w:rsidR="00EC29AA">
        <w:rPr>
          <w:rFonts w:ascii="Tahoma" w:hAnsi="Tahoma" w:cs="Tahoma"/>
        </w:rPr>
        <w:t>envolvendo</w:t>
      </w:r>
      <w:r w:rsidR="00D315A9" w:rsidRPr="00172054">
        <w:rPr>
          <w:rFonts w:ascii="Tahoma" w:hAnsi="Tahoma" w:cs="Tahoma"/>
        </w:rPr>
        <w:t xml:space="preserve"> eficiências e riscos concorrenciais cuja análise extrapola variáveis restritas à </w:t>
      </w:r>
      <w:r w:rsidR="00EC29AA">
        <w:rPr>
          <w:rFonts w:ascii="Tahoma" w:hAnsi="Tahoma" w:cs="Tahoma"/>
        </w:rPr>
        <w:t xml:space="preserve">própria </w:t>
      </w:r>
      <w:r w:rsidR="00D315A9" w:rsidRPr="00172054">
        <w:rPr>
          <w:rFonts w:ascii="Tahoma" w:hAnsi="Tahoma" w:cs="Tahoma"/>
        </w:rPr>
        <w:t>verticalização.</w:t>
      </w:r>
      <w:r w:rsidR="00D315A9">
        <w:rPr>
          <w:rStyle w:val="FootnoteReference"/>
          <w:rFonts w:ascii="Tahoma" w:hAnsi="Tahoma" w:cs="Tahoma"/>
        </w:rPr>
        <w:footnoteReference w:id="15"/>
      </w:r>
      <w:r w:rsidR="00172054">
        <w:rPr>
          <w:rFonts w:ascii="Times New Roman" w:hAnsi="Times New Roman" w:cs="Times New Roman"/>
          <w:sz w:val="24"/>
          <w:szCs w:val="24"/>
        </w:rPr>
        <w:t xml:space="preserve"> </w:t>
      </w:r>
      <w:r w:rsidR="00EC29AA" w:rsidRPr="005F12A9">
        <w:rPr>
          <w:rFonts w:ascii="Tahoma" w:hAnsi="Tahoma" w:cs="Tahoma"/>
        </w:rPr>
        <w:t xml:space="preserve">Assim, é razoável afirmar que </w:t>
      </w:r>
      <w:r w:rsidR="00EC29AA">
        <w:rPr>
          <w:rFonts w:ascii="Tahoma" w:hAnsi="Tahoma" w:cs="Tahoma"/>
        </w:rPr>
        <w:t>não h</w:t>
      </w:r>
      <w:r w:rsidR="00984BC0">
        <w:rPr>
          <w:rFonts w:ascii="Tahoma" w:hAnsi="Tahoma" w:cs="Tahoma"/>
        </w:rPr>
        <w:t>averia</w:t>
      </w:r>
      <w:r w:rsidR="00A5760E">
        <w:rPr>
          <w:rFonts w:ascii="Tahoma" w:hAnsi="Tahoma" w:cs="Tahoma"/>
        </w:rPr>
        <w:t xml:space="preserve"> garantia </w:t>
      </w:r>
      <w:r w:rsidR="00AA0FDF">
        <w:rPr>
          <w:rFonts w:ascii="Tahoma" w:hAnsi="Tahoma" w:cs="Tahoma"/>
        </w:rPr>
        <w:t>das</w:t>
      </w:r>
      <w:r w:rsidR="00EC29AA">
        <w:rPr>
          <w:rFonts w:ascii="Tahoma" w:hAnsi="Tahoma" w:cs="Tahoma"/>
        </w:rPr>
        <w:t xml:space="preserve"> supostas</w:t>
      </w:r>
      <w:r w:rsidR="00AA0FDF">
        <w:rPr>
          <w:rFonts w:ascii="Tahoma" w:hAnsi="Tahoma" w:cs="Tahoma"/>
        </w:rPr>
        <w:t xml:space="preserve"> vantagens </w:t>
      </w:r>
      <w:r w:rsidR="004152BC">
        <w:rPr>
          <w:rFonts w:ascii="Tahoma" w:hAnsi="Tahoma" w:cs="Tahoma"/>
        </w:rPr>
        <w:t>que um processo de verticalização no mercado de combustíveis apresentaria em relação ao modelo atual</w:t>
      </w:r>
      <w:r w:rsidR="00CF51C6">
        <w:rPr>
          <w:rFonts w:ascii="Tahoma" w:hAnsi="Tahoma" w:cs="Tahoma"/>
        </w:rPr>
        <w:t xml:space="preserve">. </w:t>
      </w:r>
    </w:p>
    <w:p w14:paraId="362F07FB" w14:textId="4FC3C562" w:rsidR="00306C8D" w:rsidRDefault="0007153A" w:rsidP="00535C4F">
      <w:pPr>
        <w:spacing w:after="0" w:line="360" w:lineRule="auto"/>
        <w:ind w:firstLine="7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Há</w:t>
      </w:r>
      <w:r w:rsidR="00306C8D">
        <w:rPr>
          <w:rFonts w:ascii="Tahoma" w:hAnsi="Tahoma" w:cs="Tahoma"/>
        </w:rPr>
        <w:t xml:space="preserve"> uma série de modelos regulatórios que variam em relação ao tratamento conferido às relações verticais no setor de combustíveis. O modelo</w:t>
      </w:r>
      <w:r w:rsidR="00462F15">
        <w:rPr>
          <w:rFonts w:ascii="Tahoma" w:hAnsi="Tahoma" w:cs="Tahoma"/>
        </w:rPr>
        <w:t xml:space="preserve"> brasileiro atual</w:t>
      </w:r>
      <w:r w:rsidR="00315E6D">
        <w:rPr>
          <w:rFonts w:ascii="Tahoma" w:hAnsi="Tahoma" w:cs="Tahoma"/>
        </w:rPr>
        <w:t xml:space="preserve"> admite uma série de arranjos produtivos que acabam reduzindo a incerteza no setor e que, consequentemente, evitam o problema de </w:t>
      </w:r>
      <w:r w:rsidR="00315E6D">
        <w:rPr>
          <w:rFonts w:ascii="Tahoma" w:hAnsi="Tahoma" w:cs="Tahoma"/>
          <w:i/>
        </w:rPr>
        <w:t xml:space="preserve">hold-up </w:t>
      </w:r>
      <w:r w:rsidR="00315E6D">
        <w:rPr>
          <w:rFonts w:ascii="Tahoma" w:hAnsi="Tahoma" w:cs="Tahoma"/>
        </w:rPr>
        <w:t>de investimentos</w:t>
      </w:r>
      <w:r w:rsidR="00A407F5">
        <w:rPr>
          <w:rFonts w:ascii="Tahoma" w:hAnsi="Tahoma" w:cs="Tahoma"/>
        </w:rPr>
        <w:t xml:space="preserve">, sobretudo em função da tutela regulatória dos contratos de exclusividade. </w:t>
      </w:r>
    </w:p>
    <w:p w14:paraId="1C60C062" w14:textId="3901F680" w:rsidR="00BE6701" w:rsidRDefault="00C14BB7" w:rsidP="00535C4F">
      <w:pPr>
        <w:spacing w:after="0" w:line="360" w:lineRule="auto"/>
        <w:ind w:firstLine="7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 estrutura de mercado brasileira e os elementos preliminares colhidos em mercados nos quais se permite a verticalização</w:t>
      </w:r>
      <w:r w:rsidR="001544D8">
        <w:rPr>
          <w:rFonts w:ascii="Tahoma" w:hAnsi="Tahoma" w:cs="Tahoma"/>
        </w:rPr>
        <w:t xml:space="preserve"> levam a </w:t>
      </w:r>
      <w:r w:rsidR="00404DBD">
        <w:rPr>
          <w:rFonts w:ascii="Tahoma" w:hAnsi="Tahoma" w:cs="Tahoma"/>
        </w:rPr>
        <w:t>certo</w:t>
      </w:r>
      <w:r w:rsidR="001544D8">
        <w:rPr>
          <w:rFonts w:ascii="Tahoma" w:hAnsi="Tahoma" w:cs="Tahoma"/>
        </w:rPr>
        <w:t xml:space="preserve"> ceticismo </w:t>
      </w:r>
      <w:r w:rsidR="00414D1E">
        <w:rPr>
          <w:rFonts w:ascii="Tahoma" w:hAnsi="Tahoma" w:cs="Tahoma"/>
        </w:rPr>
        <w:t xml:space="preserve">em relação aos </w:t>
      </w:r>
      <w:r w:rsidR="00A70A23">
        <w:rPr>
          <w:rFonts w:ascii="Tahoma" w:hAnsi="Tahoma" w:cs="Tahoma"/>
        </w:rPr>
        <w:t>potenciais ganhos associados</w:t>
      </w:r>
      <w:r w:rsidR="005D497E">
        <w:rPr>
          <w:rFonts w:ascii="Tahoma" w:hAnsi="Tahoma" w:cs="Tahoma"/>
        </w:rPr>
        <w:t xml:space="preserve"> a modelos de verticalização integral.</w:t>
      </w:r>
    </w:p>
    <w:p w14:paraId="1079F4D6" w14:textId="034B89AF" w:rsidR="00BD05F3" w:rsidRDefault="00337DAF" w:rsidP="00A92A88">
      <w:pPr>
        <w:spacing w:after="0" w:line="360" w:lineRule="auto"/>
        <w:ind w:firstLine="7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À luz destas ponderações, </w:t>
      </w:r>
      <w:r w:rsidRPr="00984BC0">
        <w:rPr>
          <w:rFonts w:ascii="Tahoma" w:hAnsi="Tahoma" w:cs="Tahoma"/>
        </w:rPr>
        <w:t>a</w:t>
      </w:r>
      <w:r w:rsidR="00637C4F" w:rsidRPr="00984BC0">
        <w:rPr>
          <w:rFonts w:ascii="Tahoma" w:hAnsi="Tahoma" w:cs="Tahoma"/>
        </w:rPr>
        <w:t>creditamos que o</w:t>
      </w:r>
      <w:r w:rsidR="008B7675" w:rsidRPr="00984BC0">
        <w:rPr>
          <w:rFonts w:ascii="Tahoma" w:hAnsi="Tahoma" w:cs="Tahoma"/>
        </w:rPr>
        <w:t xml:space="preserve"> </w:t>
      </w:r>
      <w:r w:rsidR="00616054" w:rsidRPr="00984BC0">
        <w:rPr>
          <w:rFonts w:ascii="Tahoma" w:hAnsi="Tahoma" w:cs="Tahoma"/>
        </w:rPr>
        <w:t>aprimoramento d</w:t>
      </w:r>
      <w:r w:rsidR="00637C4F" w:rsidRPr="00984BC0">
        <w:rPr>
          <w:rFonts w:ascii="Tahoma" w:hAnsi="Tahoma" w:cs="Tahoma"/>
        </w:rPr>
        <w:t>a concorrência do setor de combustíveis no Brasil</w:t>
      </w:r>
      <w:r w:rsidR="00616054" w:rsidRPr="00984BC0">
        <w:rPr>
          <w:rFonts w:ascii="Tahoma" w:hAnsi="Tahoma" w:cs="Tahoma"/>
        </w:rPr>
        <w:t xml:space="preserve"> </w:t>
      </w:r>
      <w:r w:rsidR="004B40F6" w:rsidRPr="00984BC0">
        <w:rPr>
          <w:rFonts w:ascii="Tahoma" w:hAnsi="Tahoma" w:cs="Tahoma"/>
        </w:rPr>
        <w:t xml:space="preserve">passa, necessariamente, </w:t>
      </w:r>
      <w:r w:rsidR="00B26F63" w:rsidRPr="00984BC0">
        <w:rPr>
          <w:rFonts w:ascii="Tahoma" w:hAnsi="Tahoma" w:cs="Tahoma"/>
        </w:rPr>
        <w:t>p</w:t>
      </w:r>
      <w:r w:rsidR="001E611F" w:rsidRPr="00984BC0">
        <w:rPr>
          <w:rFonts w:ascii="Tahoma" w:hAnsi="Tahoma" w:cs="Tahoma"/>
        </w:rPr>
        <w:t xml:space="preserve">ela discussão de elementos estruturais, tais como </w:t>
      </w:r>
      <w:r w:rsidR="00616054" w:rsidRPr="00984BC0">
        <w:rPr>
          <w:rFonts w:ascii="Tahoma" w:hAnsi="Tahoma" w:cs="Tahoma"/>
        </w:rPr>
        <w:t>a estrutura tributária do setor</w:t>
      </w:r>
      <w:r w:rsidR="000E69F2" w:rsidRPr="00984BC0">
        <w:rPr>
          <w:rFonts w:ascii="Tahoma" w:hAnsi="Tahoma" w:cs="Tahoma"/>
        </w:rPr>
        <w:t xml:space="preserve">, </w:t>
      </w:r>
      <w:r w:rsidR="00B26F63" w:rsidRPr="00984BC0">
        <w:rPr>
          <w:rFonts w:ascii="Tahoma" w:hAnsi="Tahoma" w:cs="Tahoma"/>
        </w:rPr>
        <w:t>o</w:t>
      </w:r>
      <w:r w:rsidR="00535C4F" w:rsidRPr="00984BC0">
        <w:rPr>
          <w:rFonts w:ascii="Tahoma" w:hAnsi="Tahoma" w:cs="Tahoma"/>
        </w:rPr>
        <w:t xml:space="preserve"> combate </w:t>
      </w:r>
      <w:r w:rsidR="005A0EEC" w:rsidRPr="00984BC0">
        <w:rPr>
          <w:rFonts w:ascii="Tahoma" w:hAnsi="Tahoma" w:cs="Tahoma"/>
        </w:rPr>
        <w:t xml:space="preserve">contínuo </w:t>
      </w:r>
      <w:r w:rsidR="004B40F6" w:rsidRPr="00984BC0">
        <w:rPr>
          <w:rFonts w:ascii="Tahoma" w:hAnsi="Tahoma" w:cs="Tahoma"/>
        </w:rPr>
        <w:t>a</w:t>
      </w:r>
      <w:r w:rsidR="00535C4F" w:rsidRPr="00984BC0">
        <w:rPr>
          <w:rFonts w:ascii="Tahoma" w:hAnsi="Tahoma" w:cs="Tahoma"/>
        </w:rPr>
        <w:t xml:space="preserve"> práticas de evasão fiscal</w:t>
      </w:r>
      <w:r w:rsidR="000E69F2" w:rsidRPr="00984BC0">
        <w:rPr>
          <w:rFonts w:ascii="Tahoma" w:hAnsi="Tahoma" w:cs="Tahoma"/>
        </w:rPr>
        <w:t xml:space="preserve"> e pela diminuição</w:t>
      </w:r>
      <w:r w:rsidR="002C7AA9" w:rsidRPr="00984BC0">
        <w:rPr>
          <w:rFonts w:ascii="Tahoma" w:hAnsi="Tahoma" w:cs="Tahoma"/>
        </w:rPr>
        <w:t xml:space="preserve"> </w:t>
      </w:r>
      <w:r w:rsidR="000E69F2" w:rsidRPr="00984BC0">
        <w:rPr>
          <w:rFonts w:ascii="Tahoma" w:hAnsi="Tahoma" w:cs="Tahoma"/>
        </w:rPr>
        <w:t xml:space="preserve">de barreiras à entrada no elo do refino, </w:t>
      </w:r>
      <w:r w:rsidR="002C7AA9" w:rsidRPr="00984BC0">
        <w:rPr>
          <w:rFonts w:ascii="Tahoma" w:hAnsi="Tahoma" w:cs="Tahoma"/>
        </w:rPr>
        <w:t>tornando possível a contestação do poder de monopólio nele existente</w:t>
      </w:r>
      <w:r w:rsidR="00535C4F" w:rsidRPr="00984BC0">
        <w:rPr>
          <w:rFonts w:ascii="Tahoma" w:hAnsi="Tahoma" w:cs="Tahoma"/>
        </w:rPr>
        <w:t>.</w:t>
      </w:r>
      <w:r w:rsidR="00535C4F" w:rsidRPr="004B40F6">
        <w:rPr>
          <w:rFonts w:ascii="Tahoma" w:hAnsi="Tahoma" w:cs="Tahoma"/>
        </w:rPr>
        <w:t xml:space="preserve"> </w:t>
      </w:r>
      <w:r w:rsidR="000822AE" w:rsidRPr="000822AE">
        <w:rPr>
          <w:rFonts w:ascii="Times New Roman" w:eastAsia="Noto Sans" w:hAnsi="Times New Roman" w:cs="Times New Roman"/>
          <w:sz w:val="24"/>
          <w:szCs w:val="24"/>
          <w:lang w:eastAsia="pt-BR"/>
        </w:rPr>
        <w:t xml:space="preserve"> </w:t>
      </w:r>
      <w:r w:rsidR="00720264">
        <w:rPr>
          <w:rFonts w:ascii="Tahoma" w:hAnsi="Tahoma" w:cs="Tahoma"/>
        </w:rPr>
        <w:t xml:space="preserve">Estas medidas são centrais, a nosso ver, </w:t>
      </w:r>
      <w:r w:rsidR="00835311">
        <w:rPr>
          <w:rFonts w:ascii="Tahoma" w:hAnsi="Tahoma" w:cs="Tahoma"/>
        </w:rPr>
        <w:t xml:space="preserve">para a ampliação </w:t>
      </w:r>
      <w:r w:rsidR="00D61494">
        <w:rPr>
          <w:rFonts w:ascii="Tahoma" w:hAnsi="Tahoma" w:cs="Tahoma"/>
        </w:rPr>
        <w:t>da competição e da qualidade dos combustíveis ao consumidor final</w:t>
      </w:r>
      <w:r w:rsidR="00C137B6">
        <w:rPr>
          <w:rFonts w:ascii="Tahoma" w:hAnsi="Tahoma" w:cs="Tahoma"/>
        </w:rPr>
        <w:t xml:space="preserve"> de maneira sustentável e a longo prazo. </w:t>
      </w:r>
    </w:p>
    <w:p w14:paraId="47BDCF2A" w14:textId="50525379" w:rsidR="001508C0" w:rsidRPr="00984BC0" w:rsidRDefault="00AB7E08" w:rsidP="00984BC0">
      <w:pPr>
        <w:spacing w:after="0" w:line="360" w:lineRule="auto"/>
        <w:ind w:firstLine="7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Portanto, entendemos que a permissão da verticalização não </w:t>
      </w:r>
      <w:r w:rsidR="00900ED1">
        <w:rPr>
          <w:rFonts w:ascii="Tahoma" w:hAnsi="Tahoma" w:cs="Tahoma"/>
        </w:rPr>
        <w:t xml:space="preserve">deveria </w:t>
      </w:r>
      <w:r>
        <w:rPr>
          <w:rFonts w:ascii="Tahoma" w:hAnsi="Tahoma" w:cs="Tahoma"/>
        </w:rPr>
        <w:t>ser discutida de maneira isolada e sua implantação demanda um conjunto significativo de dados para demonstrar que tal estrutura de mercado gera resultados superiores em termos de bem</w:t>
      </w:r>
      <w:r w:rsidR="00D20746">
        <w:rPr>
          <w:rFonts w:ascii="Tahoma" w:hAnsi="Tahoma" w:cs="Tahoma"/>
        </w:rPr>
        <w:t>-</w:t>
      </w:r>
      <w:r>
        <w:rPr>
          <w:rFonts w:ascii="Tahoma" w:hAnsi="Tahoma" w:cs="Tahoma"/>
        </w:rPr>
        <w:t xml:space="preserve">estar e concorrência em relação aos resultados do modelo vigente. </w:t>
      </w:r>
      <w:bookmarkStart w:id="3" w:name="OpenAt"/>
      <w:bookmarkEnd w:id="3"/>
    </w:p>
    <w:sectPr w:rsidR="001508C0" w:rsidRPr="00984BC0">
      <w:headerReference w:type="default" r:id="rId11"/>
      <w:foot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322833" w14:textId="77777777" w:rsidR="00FE5935" w:rsidRDefault="00FE5935" w:rsidP="003E36A0">
      <w:pPr>
        <w:spacing w:after="0" w:line="240" w:lineRule="auto"/>
      </w:pPr>
      <w:r>
        <w:separator/>
      </w:r>
    </w:p>
  </w:endnote>
  <w:endnote w:type="continuationSeparator" w:id="0">
    <w:p w14:paraId="1004E304" w14:textId="77777777" w:rsidR="00FE5935" w:rsidRDefault="00FE5935" w:rsidP="003E36A0">
      <w:pPr>
        <w:spacing w:after="0" w:line="240" w:lineRule="auto"/>
      </w:pPr>
      <w:r>
        <w:continuationSeparator/>
      </w:r>
    </w:p>
  </w:endnote>
  <w:endnote w:type="continuationNotice" w:id="1">
    <w:p w14:paraId="7469D6C0" w14:textId="77777777" w:rsidR="00FE5935" w:rsidRDefault="00FE593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oto Sans">
    <w:altName w:val="Segoe UI Light"/>
    <w:charset w:val="00"/>
    <w:family w:val="swiss"/>
    <w:pitch w:val="variable"/>
    <w:sig w:usb0="E00082FF" w:usb1="400078FF" w:usb2="00000021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48479881"/>
      <w:docPartObj>
        <w:docPartGallery w:val="Page Numbers (Bottom of Page)"/>
        <w:docPartUnique/>
      </w:docPartObj>
    </w:sdtPr>
    <w:sdtEndPr>
      <w:rPr>
        <w:rFonts w:ascii="Tahoma" w:hAnsi="Tahoma" w:cs="Tahoma"/>
        <w:sz w:val="20"/>
        <w:szCs w:val="20"/>
      </w:rPr>
    </w:sdtEndPr>
    <w:sdtContent>
      <w:p w14:paraId="2ADFE9BD" w14:textId="2C9A6997" w:rsidR="0043568A" w:rsidRPr="005573AA" w:rsidRDefault="0043568A">
        <w:pPr>
          <w:pStyle w:val="Footer"/>
          <w:jc w:val="right"/>
          <w:rPr>
            <w:rFonts w:ascii="Tahoma" w:hAnsi="Tahoma" w:cs="Tahoma"/>
            <w:sz w:val="20"/>
            <w:szCs w:val="20"/>
          </w:rPr>
        </w:pPr>
        <w:r w:rsidRPr="005573AA">
          <w:rPr>
            <w:rFonts w:ascii="Tahoma" w:hAnsi="Tahoma" w:cs="Tahoma"/>
            <w:sz w:val="20"/>
            <w:szCs w:val="20"/>
          </w:rPr>
          <w:fldChar w:fldCharType="begin"/>
        </w:r>
        <w:r w:rsidRPr="005573AA">
          <w:rPr>
            <w:rFonts w:ascii="Tahoma" w:hAnsi="Tahoma" w:cs="Tahoma"/>
            <w:sz w:val="20"/>
            <w:szCs w:val="20"/>
          </w:rPr>
          <w:instrText>PAGE   \* MERGEFORMAT</w:instrText>
        </w:r>
        <w:r w:rsidRPr="005573AA">
          <w:rPr>
            <w:rFonts w:ascii="Tahoma" w:hAnsi="Tahoma" w:cs="Tahoma"/>
            <w:sz w:val="20"/>
            <w:szCs w:val="20"/>
          </w:rPr>
          <w:fldChar w:fldCharType="separate"/>
        </w:r>
        <w:r w:rsidR="00693FF1">
          <w:rPr>
            <w:rFonts w:ascii="Tahoma" w:hAnsi="Tahoma" w:cs="Tahoma"/>
            <w:noProof/>
            <w:sz w:val="20"/>
            <w:szCs w:val="20"/>
          </w:rPr>
          <w:t>20</w:t>
        </w:r>
        <w:r w:rsidRPr="005573AA">
          <w:rPr>
            <w:rFonts w:ascii="Tahoma" w:hAnsi="Tahoma" w:cs="Tahoma"/>
            <w:sz w:val="20"/>
            <w:szCs w:val="20"/>
          </w:rPr>
          <w:fldChar w:fldCharType="end"/>
        </w:r>
      </w:p>
    </w:sdtContent>
  </w:sdt>
  <w:p w14:paraId="4E8FC4B0" w14:textId="77777777" w:rsidR="0043568A" w:rsidRDefault="004356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9B6A22" w14:textId="77777777" w:rsidR="00FE5935" w:rsidRDefault="00FE5935" w:rsidP="003E36A0">
      <w:pPr>
        <w:spacing w:after="0" w:line="240" w:lineRule="auto"/>
      </w:pPr>
      <w:r>
        <w:separator/>
      </w:r>
    </w:p>
  </w:footnote>
  <w:footnote w:type="continuationSeparator" w:id="0">
    <w:p w14:paraId="03722B2A" w14:textId="77777777" w:rsidR="00FE5935" w:rsidRDefault="00FE5935" w:rsidP="003E36A0">
      <w:pPr>
        <w:spacing w:after="0" w:line="240" w:lineRule="auto"/>
      </w:pPr>
      <w:r>
        <w:continuationSeparator/>
      </w:r>
    </w:p>
  </w:footnote>
  <w:footnote w:type="continuationNotice" w:id="1">
    <w:p w14:paraId="577937B5" w14:textId="77777777" w:rsidR="00FE5935" w:rsidRDefault="00FE5935">
      <w:pPr>
        <w:spacing w:after="0" w:line="240" w:lineRule="auto"/>
      </w:pPr>
    </w:p>
  </w:footnote>
  <w:footnote w:id="2">
    <w:p w14:paraId="17467492" w14:textId="7F06F8C3" w:rsidR="0043568A" w:rsidRPr="00580566" w:rsidRDefault="0043568A" w:rsidP="005366D0">
      <w:pPr>
        <w:pStyle w:val="FootnoteText"/>
        <w:jc w:val="both"/>
        <w:rPr>
          <w:rFonts w:ascii="Tahoma" w:hAnsi="Tahoma" w:cs="Tahoma"/>
          <w:sz w:val="18"/>
          <w:szCs w:val="18"/>
        </w:rPr>
      </w:pPr>
      <w:r w:rsidRPr="003C0053">
        <w:rPr>
          <w:rStyle w:val="FootnoteReference"/>
          <w:rFonts w:ascii="Tahoma" w:hAnsi="Tahoma" w:cs="Tahoma"/>
          <w:sz w:val="18"/>
          <w:szCs w:val="18"/>
        </w:rPr>
        <w:footnoteRef/>
      </w:r>
      <w:r w:rsidRPr="007E579D">
        <w:rPr>
          <w:rFonts w:ascii="Tahoma" w:hAnsi="Tahoma" w:cs="Tahoma"/>
          <w:sz w:val="18"/>
          <w:szCs w:val="18"/>
        </w:rPr>
        <w:t xml:space="preserve"> </w:t>
      </w:r>
      <w:r w:rsidRPr="0020440F">
        <w:rPr>
          <w:rFonts w:ascii="Tahoma" w:hAnsi="Tahoma" w:cs="Tahoma"/>
          <w:sz w:val="18"/>
          <w:szCs w:val="18"/>
        </w:rPr>
        <w:t>É o que dispõe</w:t>
      </w:r>
      <w:r>
        <w:rPr>
          <w:rFonts w:ascii="Tahoma" w:hAnsi="Tahoma" w:cs="Tahoma"/>
          <w:sz w:val="18"/>
          <w:szCs w:val="18"/>
        </w:rPr>
        <w:t>m</w:t>
      </w:r>
      <w:r w:rsidRPr="0020440F">
        <w:rPr>
          <w:rFonts w:ascii="Tahoma" w:hAnsi="Tahoma" w:cs="Tahoma"/>
          <w:sz w:val="18"/>
          <w:szCs w:val="18"/>
        </w:rPr>
        <w:t xml:space="preserve"> os a</w:t>
      </w:r>
      <w:r w:rsidRPr="007E579D">
        <w:rPr>
          <w:rFonts w:ascii="Tahoma" w:hAnsi="Tahoma" w:cs="Tahoma"/>
          <w:sz w:val="18"/>
          <w:szCs w:val="18"/>
        </w:rPr>
        <w:t xml:space="preserve">rt. </w:t>
      </w:r>
      <w:r w:rsidRPr="002C4B0C">
        <w:rPr>
          <w:rFonts w:ascii="Tahoma" w:hAnsi="Tahoma" w:cs="Tahoma"/>
          <w:sz w:val="18"/>
          <w:szCs w:val="18"/>
        </w:rPr>
        <w:t>8°, inciso</w:t>
      </w:r>
      <w:r>
        <w:rPr>
          <w:rFonts w:ascii="Tahoma" w:hAnsi="Tahoma" w:cs="Tahoma"/>
          <w:sz w:val="18"/>
          <w:szCs w:val="18"/>
        </w:rPr>
        <w:t>s</w:t>
      </w:r>
      <w:r w:rsidRPr="002C4B0C">
        <w:rPr>
          <w:rFonts w:ascii="Tahoma" w:hAnsi="Tahoma" w:cs="Tahoma"/>
          <w:sz w:val="18"/>
          <w:szCs w:val="18"/>
        </w:rPr>
        <w:t xml:space="preserve"> IX</w:t>
      </w:r>
      <w:r>
        <w:rPr>
          <w:rFonts w:ascii="Tahoma" w:hAnsi="Tahoma" w:cs="Tahoma"/>
          <w:sz w:val="18"/>
          <w:szCs w:val="18"/>
        </w:rPr>
        <w:t xml:space="preserve"> e X</w:t>
      </w:r>
      <w:r w:rsidRPr="002C4B0C">
        <w:rPr>
          <w:rFonts w:ascii="Tahoma" w:hAnsi="Tahoma" w:cs="Tahoma"/>
          <w:sz w:val="18"/>
          <w:szCs w:val="18"/>
        </w:rPr>
        <w:t>, e art. 26</w:t>
      </w:r>
      <w:r>
        <w:rPr>
          <w:rFonts w:ascii="Tahoma" w:hAnsi="Tahoma" w:cs="Tahoma"/>
          <w:sz w:val="18"/>
          <w:szCs w:val="18"/>
        </w:rPr>
        <w:t xml:space="preserve"> da Resolução nº 41/2013</w:t>
      </w:r>
      <w:r w:rsidRPr="007E579D">
        <w:rPr>
          <w:rFonts w:ascii="Tahoma" w:hAnsi="Tahoma" w:cs="Tahoma"/>
          <w:sz w:val="18"/>
          <w:szCs w:val="18"/>
        </w:rPr>
        <w:t>.</w:t>
      </w:r>
    </w:p>
  </w:footnote>
  <w:footnote w:id="3">
    <w:p w14:paraId="07A720C9" w14:textId="4391EB0C" w:rsidR="0043568A" w:rsidRPr="005573AA" w:rsidRDefault="0043568A" w:rsidP="005573AA">
      <w:pPr>
        <w:pStyle w:val="FootnoteText"/>
        <w:jc w:val="both"/>
        <w:rPr>
          <w:rFonts w:ascii="Tahoma" w:hAnsi="Tahoma" w:cs="Tahoma"/>
          <w:i/>
          <w:sz w:val="18"/>
          <w:szCs w:val="18"/>
        </w:rPr>
      </w:pPr>
      <w:r w:rsidRPr="005573AA">
        <w:rPr>
          <w:rStyle w:val="FootnoteReference"/>
          <w:rFonts w:ascii="Tahoma" w:hAnsi="Tahoma" w:cs="Tahoma"/>
          <w:sz w:val="18"/>
          <w:szCs w:val="18"/>
        </w:rPr>
        <w:footnoteRef/>
      </w:r>
      <w:r w:rsidRPr="005573AA">
        <w:rPr>
          <w:rFonts w:ascii="Tahoma" w:hAnsi="Tahoma" w:cs="Tahoma"/>
          <w:sz w:val="18"/>
          <w:szCs w:val="18"/>
        </w:rPr>
        <w:t xml:space="preserve"> </w:t>
      </w:r>
      <w:bookmarkStart w:id="1" w:name="33"/>
      <w:r w:rsidRPr="005573AA">
        <w:rPr>
          <w:rFonts w:ascii="Tahoma" w:hAnsi="Tahoma" w:cs="Tahoma"/>
          <w:b/>
          <w:i/>
          <w:sz w:val="18"/>
          <w:szCs w:val="18"/>
        </w:rPr>
        <w:t>Art. 33</w:t>
      </w:r>
      <w:r>
        <w:rPr>
          <w:rFonts w:ascii="Tahoma" w:hAnsi="Tahoma" w:cs="Tahoma"/>
          <w:b/>
          <w:i/>
          <w:sz w:val="18"/>
          <w:szCs w:val="18"/>
        </w:rPr>
        <w:t>.</w:t>
      </w:r>
      <w:r w:rsidRPr="005573AA">
        <w:rPr>
          <w:rFonts w:ascii="Tahoma" w:hAnsi="Tahoma" w:cs="Tahoma"/>
          <w:i/>
          <w:sz w:val="18"/>
          <w:szCs w:val="18"/>
        </w:rPr>
        <w:t xml:space="preserve"> Fica vedado ao distribuidor de combustíveis líquidos autorizado pela ANP o exercício da atividade de transportador revendedor retalhista e de revenda varejista de combustíveis automotivos.</w:t>
      </w:r>
      <w:bookmarkEnd w:id="1"/>
    </w:p>
  </w:footnote>
  <w:footnote w:id="4">
    <w:p w14:paraId="60EBEB91" w14:textId="477E50FD" w:rsidR="0043568A" w:rsidRPr="005573AA" w:rsidRDefault="0043568A">
      <w:pPr>
        <w:pStyle w:val="FootnoteText"/>
        <w:rPr>
          <w:rFonts w:ascii="Tahoma" w:hAnsi="Tahoma" w:cs="Tahoma"/>
          <w:sz w:val="18"/>
          <w:szCs w:val="18"/>
        </w:rPr>
      </w:pPr>
      <w:r w:rsidRPr="005573AA">
        <w:rPr>
          <w:rStyle w:val="FootnoteReference"/>
          <w:rFonts w:ascii="Tahoma" w:hAnsi="Tahoma" w:cs="Tahoma"/>
          <w:sz w:val="18"/>
          <w:szCs w:val="18"/>
        </w:rPr>
        <w:footnoteRef/>
      </w:r>
      <w:r w:rsidRPr="005573AA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Art. 12, inciso III, alínea f, da Resolução ANP nº 58/2014.</w:t>
      </w:r>
    </w:p>
  </w:footnote>
  <w:footnote w:id="5">
    <w:p w14:paraId="477517D5" w14:textId="62A3F1ED" w:rsidR="0043568A" w:rsidRDefault="0043568A">
      <w:pPr>
        <w:pStyle w:val="FootnoteText"/>
      </w:pPr>
      <w:r w:rsidRPr="005573AA">
        <w:rPr>
          <w:rStyle w:val="FootnoteReference"/>
          <w:rFonts w:ascii="Tahoma" w:hAnsi="Tahoma" w:cs="Tahoma"/>
          <w:sz w:val="18"/>
          <w:szCs w:val="18"/>
        </w:rPr>
        <w:footnoteRef/>
      </w:r>
      <w:r w:rsidRPr="005573AA">
        <w:rPr>
          <w:rFonts w:ascii="Tahoma" w:hAnsi="Tahoma" w:cs="Tahoma"/>
          <w:sz w:val="18"/>
          <w:szCs w:val="18"/>
        </w:rPr>
        <w:t xml:space="preserve"> Art. 18</w:t>
      </w:r>
      <w:r>
        <w:rPr>
          <w:rFonts w:ascii="Tahoma" w:hAnsi="Tahoma" w:cs="Tahoma"/>
          <w:sz w:val="18"/>
          <w:szCs w:val="18"/>
        </w:rPr>
        <w:t xml:space="preserve">º da Resolução ANP nº 16/2010. </w:t>
      </w:r>
    </w:p>
  </w:footnote>
  <w:footnote w:id="6">
    <w:p w14:paraId="5E21587C" w14:textId="24FE0634" w:rsidR="0043568A" w:rsidRPr="005573AA" w:rsidRDefault="0043568A">
      <w:pPr>
        <w:pStyle w:val="FootnoteText"/>
        <w:rPr>
          <w:rFonts w:ascii="Tahoma" w:hAnsi="Tahoma" w:cs="Tahoma"/>
          <w:sz w:val="18"/>
          <w:szCs w:val="18"/>
        </w:rPr>
      </w:pPr>
      <w:r w:rsidRPr="005573AA">
        <w:rPr>
          <w:rStyle w:val="FootnoteReference"/>
          <w:rFonts w:ascii="Tahoma" w:hAnsi="Tahoma" w:cs="Tahoma"/>
          <w:sz w:val="18"/>
          <w:szCs w:val="18"/>
        </w:rPr>
        <w:footnoteRef/>
      </w:r>
      <w:r w:rsidRPr="005573AA">
        <w:rPr>
          <w:rFonts w:ascii="Tahoma" w:hAnsi="Tahoma" w:cs="Tahoma"/>
          <w:sz w:val="18"/>
          <w:szCs w:val="18"/>
        </w:rPr>
        <w:t xml:space="preserve"> </w:t>
      </w:r>
      <w:r w:rsidRPr="007C3782">
        <w:rPr>
          <w:rFonts w:ascii="Tahoma" w:hAnsi="Tahoma" w:cs="Tahoma"/>
          <w:sz w:val="18"/>
          <w:szCs w:val="18"/>
        </w:rPr>
        <w:t>Art. 2º, inciso VI, d</w:t>
      </w:r>
      <w:r w:rsidRPr="005573AA">
        <w:rPr>
          <w:rFonts w:ascii="Tahoma" w:hAnsi="Tahoma" w:cs="Tahoma"/>
          <w:sz w:val="18"/>
          <w:szCs w:val="18"/>
        </w:rPr>
        <w:t>a R</w:t>
      </w:r>
      <w:r>
        <w:rPr>
          <w:rFonts w:ascii="Tahoma" w:hAnsi="Tahoma" w:cs="Tahoma"/>
          <w:sz w:val="18"/>
          <w:szCs w:val="18"/>
        </w:rPr>
        <w:t xml:space="preserve">esolução ANP nº 43/2009. </w:t>
      </w:r>
    </w:p>
  </w:footnote>
  <w:footnote w:id="7">
    <w:p w14:paraId="73E514E9" w14:textId="50198B6F" w:rsidR="0043568A" w:rsidRPr="005573AA" w:rsidRDefault="0043568A">
      <w:pPr>
        <w:pStyle w:val="FootnoteText"/>
        <w:rPr>
          <w:rFonts w:ascii="Tahoma" w:hAnsi="Tahoma" w:cs="Tahoma"/>
          <w:sz w:val="18"/>
          <w:szCs w:val="18"/>
        </w:rPr>
      </w:pPr>
      <w:r w:rsidRPr="005573AA">
        <w:rPr>
          <w:rStyle w:val="FootnoteReference"/>
          <w:rFonts w:ascii="Tahoma" w:hAnsi="Tahoma" w:cs="Tahoma"/>
          <w:sz w:val="18"/>
          <w:szCs w:val="18"/>
        </w:rPr>
        <w:footnoteRef/>
      </w:r>
      <w:r w:rsidRPr="005573AA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 xml:space="preserve">Art. 4º, parágrafo 2º, da Resolução ANP nº 314/2001. </w:t>
      </w:r>
    </w:p>
  </w:footnote>
  <w:footnote w:id="8">
    <w:p w14:paraId="426066DA" w14:textId="6BAE7544" w:rsidR="0043568A" w:rsidRPr="005573AA" w:rsidRDefault="0043568A" w:rsidP="005573AA">
      <w:pPr>
        <w:pStyle w:val="FootnoteText"/>
        <w:jc w:val="both"/>
        <w:rPr>
          <w:rFonts w:ascii="Tahoma" w:hAnsi="Tahoma" w:cs="Tahoma"/>
          <w:sz w:val="18"/>
          <w:szCs w:val="18"/>
        </w:rPr>
      </w:pPr>
      <w:r w:rsidRPr="005573AA">
        <w:rPr>
          <w:rStyle w:val="FootnoteReference"/>
          <w:rFonts w:ascii="Tahoma" w:hAnsi="Tahoma" w:cs="Tahoma"/>
          <w:sz w:val="18"/>
          <w:szCs w:val="18"/>
        </w:rPr>
        <w:footnoteRef/>
      </w:r>
      <w:r w:rsidRPr="005573AA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 xml:space="preserve">Tendo em vista o objeto da presente TPC nº 03/2018, tal qual divulgado por meio do Aviso de Tomada Pública de Contribuições publicado no DOU no dia 20 de setembro de 2018, são de especial interesse, no que toca à regulação das atividades desenvolvidas pelos TRRs, a (i) vedação de que os TRRs comercializem outros combustíveis, além de óleo diesel; a (ii) obrigatoriedade de que os TRRs comprem diretamente dos distribuidores; e (iii) as limitações de comercialização para distribuidores e TRRs no que se refere aos pontos de abastecimento nos termos da Resolução ANP nº 34/2007. </w:t>
      </w:r>
    </w:p>
  </w:footnote>
  <w:footnote w:id="9">
    <w:p w14:paraId="0E89BA91" w14:textId="0F5A6200" w:rsidR="0043568A" w:rsidRPr="00E61137" w:rsidRDefault="0043568A" w:rsidP="009469BB">
      <w:pPr>
        <w:pStyle w:val="FootnoteText"/>
        <w:jc w:val="both"/>
        <w:rPr>
          <w:rFonts w:ascii="Tahoma" w:hAnsi="Tahoma" w:cs="Tahoma"/>
          <w:sz w:val="18"/>
          <w:szCs w:val="18"/>
          <w:lang w:val="en-US"/>
        </w:rPr>
      </w:pPr>
      <w:r w:rsidRPr="00E61137">
        <w:rPr>
          <w:rStyle w:val="FootnoteReference"/>
          <w:rFonts w:ascii="Tahoma" w:hAnsi="Tahoma" w:cs="Tahoma"/>
          <w:sz w:val="18"/>
          <w:szCs w:val="18"/>
        </w:rPr>
        <w:footnoteRef/>
      </w:r>
      <w:r w:rsidRPr="007E579D">
        <w:rPr>
          <w:rFonts w:ascii="Tahoma" w:hAnsi="Tahoma" w:cs="Tahoma"/>
          <w:sz w:val="18"/>
          <w:szCs w:val="18"/>
          <w:lang w:val="en-US"/>
        </w:rPr>
        <w:t xml:space="preserve"> </w:t>
      </w:r>
      <w:bookmarkStart w:id="2" w:name="_Hlk529175591"/>
      <w:r w:rsidRPr="007E579D">
        <w:rPr>
          <w:rFonts w:ascii="Tahoma" w:hAnsi="Tahoma" w:cs="Tahoma"/>
          <w:sz w:val="18"/>
          <w:szCs w:val="18"/>
          <w:lang w:val="en-US"/>
        </w:rPr>
        <w:t xml:space="preserve">OECD (2008). </w:t>
      </w:r>
      <w:r w:rsidRPr="00E61137">
        <w:rPr>
          <w:rFonts w:ascii="Tahoma" w:hAnsi="Tahoma" w:cs="Tahoma"/>
          <w:i/>
          <w:sz w:val="18"/>
          <w:szCs w:val="18"/>
          <w:lang w:val="en-US"/>
        </w:rPr>
        <w:t>Competition policy for vertical relations in gasoline retailing</w:t>
      </w:r>
      <w:r w:rsidRPr="00E61137">
        <w:rPr>
          <w:rFonts w:ascii="Tahoma" w:hAnsi="Tahoma" w:cs="Tahoma"/>
          <w:sz w:val="18"/>
          <w:szCs w:val="18"/>
          <w:lang w:val="en-US"/>
        </w:rPr>
        <w:t xml:space="preserve">, p. 8, disponível em: </w:t>
      </w:r>
      <w:hyperlink r:id="rId1" w:history="1">
        <w:r w:rsidRPr="00E61137">
          <w:rPr>
            <w:rStyle w:val="Hyperlink"/>
            <w:rFonts w:ascii="Tahoma" w:hAnsi="Tahoma" w:cs="Tahoma"/>
            <w:sz w:val="18"/>
            <w:szCs w:val="18"/>
            <w:lang w:val="en-US"/>
          </w:rPr>
          <w:t>http://www.oecd.org/competition/abuse/43040511.pdf</w:t>
        </w:r>
      </w:hyperlink>
      <w:r w:rsidRPr="00E61137">
        <w:rPr>
          <w:rFonts w:ascii="Tahoma" w:hAnsi="Tahoma" w:cs="Tahoma"/>
          <w:sz w:val="18"/>
          <w:szCs w:val="18"/>
          <w:lang w:val="en-US"/>
        </w:rPr>
        <w:t xml:space="preserve">. </w:t>
      </w:r>
      <w:bookmarkEnd w:id="2"/>
    </w:p>
  </w:footnote>
  <w:footnote w:id="10">
    <w:p w14:paraId="35F8A75D" w14:textId="65F0E5CD" w:rsidR="0043568A" w:rsidRPr="00E61137" w:rsidRDefault="0043568A" w:rsidP="00F33CF0">
      <w:pPr>
        <w:pStyle w:val="FootnoteText"/>
        <w:jc w:val="both"/>
        <w:rPr>
          <w:rFonts w:ascii="Tahoma" w:hAnsi="Tahoma" w:cs="Tahoma"/>
          <w:sz w:val="18"/>
          <w:szCs w:val="18"/>
        </w:rPr>
      </w:pPr>
      <w:r w:rsidRPr="00E61137">
        <w:rPr>
          <w:rStyle w:val="FootnoteReference"/>
          <w:rFonts w:ascii="Tahoma" w:hAnsi="Tahoma" w:cs="Tahoma"/>
          <w:sz w:val="18"/>
          <w:szCs w:val="18"/>
        </w:rPr>
        <w:footnoteRef/>
      </w:r>
      <w:r w:rsidRPr="00E61137">
        <w:rPr>
          <w:rFonts w:ascii="Tahoma" w:hAnsi="Tahoma" w:cs="Tahoma"/>
          <w:sz w:val="18"/>
          <w:szCs w:val="18"/>
        </w:rPr>
        <w:t xml:space="preserve"> Como apontado por Carlos Ragazzo (2010), na Austrália, o </w:t>
      </w:r>
      <w:r w:rsidRPr="00E61137">
        <w:rPr>
          <w:rFonts w:ascii="Tahoma" w:hAnsi="Tahoma" w:cs="Tahoma"/>
          <w:i/>
          <w:sz w:val="18"/>
          <w:szCs w:val="18"/>
        </w:rPr>
        <w:t>Petroleum Retail Marketing Franchise Act</w:t>
      </w:r>
      <w:r w:rsidRPr="00E61137">
        <w:rPr>
          <w:rFonts w:ascii="Tahoma" w:hAnsi="Tahoma" w:cs="Tahoma"/>
          <w:sz w:val="18"/>
          <w:szCs w:val="18"/>
        </w:rPr>
        <w:t xml:space="preserve"> (1980) regula os contratos de franquia com o objetivo de equilibrar a relação entre franqueador e franqueado. O diploma legal proíbe a discriminação entre revendedores franqueados e revendedores de propriedade dos refinadores, obriga a disponibilização de informações essenciais aos potenciais franqueados e estabelece regras para assegurar o não rompimento do contrato por certo período, dentre outras previsões.</w:t>
      </w:r>
    </w:p>
  </w:footnote>
  <w:footnote w:id="11">
    <w:p w14:paraId="48F84824" w14:textId="7695E467" w:rsidR="0043568A" w:rsidRPr="005573AA" w:rsidRDefault="0043568A">
      <w:pPr>
        <w:pStyle w:val="FootnoteText"/>
        <w:rPr>
          <w:rFonts w:ascii="Tahoma" w:hAnsi="Tahoma" w:cs="Tahoma"/>
          <w:sz w:val="18"/>
          <w:szCs w:val="18"/>
        </w:rPr>
      </w:pPr>
      <w:r w:rsidRPr="005573AA">
        <w:rPr>
          <w:rStyle w:val="FootnoteReference"/>
          <w:rFonts w:ascii="Tahoma" w:hAnsi="Tahoma" w:cs="Tahoma"/>
          <w:sz w:val="18"/>
          <w:szCs w:val="18"/>
        </w:rPr>
        <w:footnoteRef/>
      </w:r>
      <w:r w:rsidRPr="005573AA">
        <w:rPr>
          <w:rFonts w:ascii="Tahoma" w:hAnsi="Tahoma" w:cs="Tahoma"/>
          <w:sz w:val="18"/>
          <w:szCs w:val="18"/>
        </w:rPr>
        <w:t xml:space="preserve"> </w:t>
      </w:r>
      <w:r w:rsidRPr="009135F2">
        <w:rPr>
          <w:rFonts w:ascii="Tahoma" w:hAnsi="Tahoma" w:cs="Tahoma"/>
          <w:sz w:val="18"/>
          <w:szCs w:val="18"/>
        </w:rPr>
        <w:t>OCDE (2008), p. 167.</w:t>
      </w:r>
    </w:p>
  </w:footnote>
  <w:footnote w:id="12">
    <w:p w14:paraId="6FA354F1" w14:textId="60B31DEC" w:rsidR="0043568A" w:rsidRPr="005573AA" w:rsidRDefault="0043568A" w:rsidP="005573AA">
      <w:pPr>
        <w:pStyle w:val="FootnoteText"/>
        <w:jc w:val="both"/>
        <w:rPr>
          <w:rFonts w:ascii="Tahoma" w:hAnsi="Tahoma" w:cs="Tahoma"/>
          <w:sz w:val="18"/>
          <w:szCs w:val="18"/>
          <w:lang w:val="en-US"/>
        </w:rPr>
      </w:pPr>
      <w:r w:rsidRPr="005573AA">
        <w:rPr>
          <w:rStyle w:val="FootnoteReference"/>
          <w:rFonts w:ascii="Tahoma" w:hAnsi="Tahoma" w:cs="Tahoma"/>
          <w:sz w:val="18"/>
          <w:szCs w:val="18"/>
        </w:rPr>
        <w:footnoteRef/>
      </w:r>
      <w:r w:rsidRPr="005573AA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 xml:space="preserve">O aumento deste tipo de posto parece ser uma tendência na Austrália. </w:t>
      </w:r>
      <w:r w:rsidRPr="005573AA">
        <w:rPr>
          <w:rFonts w:ascii="Tahoma" w:hAnsi="Tahoma" w:cs="Tahoma"/>
          <w:sz w:val="18"/>
          <w:szCs w:val="18"/>
          <w:lang w:val="en-US"/>
        </w:rPr>
        <w:t xml:space="preserve">Cf. </w:t>
      </w:r>
      <w:hyperlink r:id="rId2" w:history="1">
        <w:r w:rsidRPr="005573AA">
          <w:rPr>
            <w:rStyle w:val="Hyperlink"/>
            <w:lang w:val="en-US"/>
          </w:rPr>
          <w:t>https://www.mtaa.com.au/images/Fuel_Retailing_in_Australia.pdf</w:t>
        </w:r>
      </w:hyperlink>
      <w:r>
        <w:rPr>
          <w:rFonts w:ascii="Tahoma" w:hAnsi="Tahoma" w:cs="Tahoma"/>
          <w:sz w:val="18"/>
          <w:szCs w:val="18"/>
          <w:lang w:val="en-US"/>
        </w:rPr>
        <w:t xml:space="preserve">. </w:t>
      </w:r>
    </w:p>
  </w:footnote>
  <w:footnote w:id="13">
    <w:p w14:paraId="534E244D" w14:textId="02A4F967" w:rsidR="0043568A" w:rsidRPr="005573AA" w:rsidRDefault="0043568A">
      <w:pPr>
        <w:pStyle w:val="FootnoteText"/>
        <w:rPr>
          <w:rFonts w:ascii="Tahoma" w:hAnsi="Tahoma" w:cs="Tahoma"/>
          <w:sz w:val="18"/>
          <w:szCs w:val="18"/>
          <w:lang w:val="en-US"/>
        </w:rPr>
      </w:pPr>
      <w:r w:rsidRPr="005573AA">
        <w:rPr>
          <w:rStyle w:val="FootnoteReference"/>
          <w:rFonts w:ascii="Tahoma" w:hAnsi="Tahoma" w:cs="Tahoma"/>
          <w:sz w:val="18"/>
          <w:szCs w:val="18"/>
        </w:rPr>
        <w:footnoteRef/>
      </w:r>
      <w:r w:rsidRPr="005573AA">
        <w:rPr>
          <w:rFonts w:ascii="Tahoma" w:hAnsi="Tahoma" w:cs="Tahoma"/>
          <w:sz w:val="18"/>
          <w:szCs w:val="18"/>
          <w:lang w:val="en-US"/>
        </w:rPr>
        <w:t xml:space="preserve"> OCDE (2008), p. 81.</w:t>
      </w:r>
    </w:p>
  </w:footnote>
  <w:footnote w:id="14">
    <w:p w14:paraId="232167EC" w14:textId="77777777" w:rsidR="0043568A" w:rsidRPr="00571EB4" w:rsidRDefault="0043568A" w:rsidP="005E5BEA">
      <w:pPr>
        <w:pStyle w:val="FootnoteText"/>
        <w:rPr>
          <w:rFonts w:ascii="Tahoma" w:hAnsi="Tahoma" w:cs="Tahoma"/>
          <w:sz w:val="18"/>
          <w:szCs w:val="18"/>
          <w:lang w:val="en-US"/>
        </w:rPr>
      </w:pPr>
      <w:r w:rsidRPr="00571EB4">
        <w:rPr>
          <w:rStyle w:val="FootnoteReference"/>
          <w:rFonts w:ascii="Tahoma" w:hAnsi="Tahoma" w:cs="Tahoma"/>
          <w:sz w:val="18"/>
          <w:szCs w:val="18"/>
        </w:rPr>
        <w:footnoteRef/>
      </w:r>
      <w:r w:rsidRPr="00571EB4">
        <w:rPr>
          <w:rFonts w:ascii="Tahoma" w:hAnsi="Tahoma" w:cs="Tahoma"/>
          <w:sz w:val="18"/>
          <w:szCs w:val="18"/>
          <w:lang w:val="en-US"/>
        </w:rPr>
        <w:t xml:space="preserve"> Documento interno </w:t>
      </w:r>
      <w:r>
        <w:rPr>
          <w:rFonts w:ascii="Tahoma" w:hAnsi="Tahoma" w:cs="Tahoma"/>
          <w:sz w:val="18"/>
          <w:szCs w:val="18"/>
          <w:lang w:val="en-US"/>
        </w:rPr>
        <w:t xml:space="preserve">à </w:t>
      </w:r>
      <w:r w:rsidRPr="00571EB4">
        <w:rPr>
          <w:rFonts w:ascii="Tahoma" w:hAnsi="Tahoma" w:cs="Tahoma"/>
          <w:sz w:val="18"/>
          <w:szCs w:val="18"/>
          <w:lang w:val="en-US"/>
        </w:rPr>
        <w:t>Raízen, “</w:t>
      </w:r>
      <w:r w:rsidRPr="00571EB4">
        <w:rPr>
          <w:rFonts w:ascii="Tahoma" w:hAnsi="Tahoma" w:cs="Tahoma"/>
          <w:i/>
          <w:sz w:val="18"/>
          <w:szCs w:val="18"/>
          <w:lang w:val="en-US"/>
        </w:rPr>
        <w:t>Contracts and Fuel Supply Information Request Summary</w:t>
      </w:r>
      <w:r>
        <w:rPr>
          <w:rFonts w:ascii="Tahoma" w:hAnsi="Tahoma" w:cs="Tahoma"/>
          <w:i/>
          <w:sz w:val="18"/>
          <w:szCs w:val="18"/>
          <w:lang w:val="en-US"/>
        </w:rPr>
        <w:t>”.</w:t>
      </w:r>
    </w:p>
  </w:footnote>
  <w:footnote w:id="15">
    <w:p w14:paraId="2638E3D7" w14:textId="66A54E74" w:rsidR="0043568A" w:rsidRPr="00F5796F" w:rsidRDefault="0043568A">
      <w:pPr>
        <w:pStyle w:val="FootnoteText"/>
        <w:rPr>
          <w:rFonts w:ascii="Tahoma" w:hAnsi="Tahoma" w:cs="Tahoma"/>
          <w:sz w:val="18"/>
          <w:szCs w:val="18"/>
        </w:rPr>
      </w:pPr>
      <w:r w:rsidRPr="003C0053">
        <w:rPr>
          <w:rStyle w:val="FootnoteReference"/>
          <w:rFonts w:ascii="Tahoma" w:hAnsi="Tahoma" w:cs="Tahoma"/>
          <w:sz w:val="18"/>
          <w:szCs w:val="18"/>
        </w:rPr>
        <w:footnoteRef/>
      </w:r>
      <w:r w:rsidRPr="003C0053">
        <w:rPr>
          <w:rFonts w:ascii="Tahoma" w:hAnsi="Tahoma" w:cs="Tahoma"/>
          <w:sz w:val="18"/>
          <w:szCs w:val="18"/>
        </w:rPr>
        <w:t xml:space="preserve"> Ver, nesse sentido, </w:t>
      </w:r>
      <w:r w:rsidRPr="00F5796F">
        <w:rPr>
          <w:rFonts w:ascii="Tahoma" w:hAnsi="Tahoma" w:cs="Tahoma"/>
          <w:sz w:val="18"/>
          <w:szCs w:val="18"/>
        </w:rPr>
        <w:t xml:space="preserve">OCDE (2008), p. 8.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8D5CD7" w14:textId="4F6C1015" w:rsidR="0043568A" w:rsidRDefault="000D685D" w:rsidP="003E36A0">
    <w:pPr>
      <w:pStyle w:val="Header"/>
      <w:jc w:val="right"/>
    </w:pPr>
    <w:r>
      <w:rPr>
        <w:noProof/>
        <w:lang w:eastAsia="pt-BR"/>
      </w:rPr>
      <w:drawing>
        <wp:inline distT="0" distB="0" distL="0" distR="0" wp14:anchorId="3CCEDFE3" wp14:editId="676FDEC1">
          <wp:extent cx="690880" cy="595630"/>
          <wp:effectExtent l="0" t="0" r="0" b="0"/>
          <wp:docPr id="1" name="Imagem 1" descr="ANd9GcRezENnE7e3PyremaqViQI8P90-CSiuKVE1jb4xpgwRf6N7PU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Nd9GcRezENnE7e3PyremaqViQI8P90-CSiuKVE1jb4xpgwRf6N7PUyK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880" cy="595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1B0019"/>
    <w:multiLevelType w:val="multilevel"/>
    <w:tmpl w:val="E38AAF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" w15:restartNumberingAfterBreak="0">
    <w:nsid w:val="15244411"/>
    <w:multiLevelType w:val="hybridMultilevel"/>
    <w:tmpl w:val="78B897B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A7123"/>
    <w:multiLevelType w:val="hybridMultilevel"/>
    <w:tmpl w:val="480C4DB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D91357"/>
    <w:multiLevelType w:val="hybridMultilevel"/>
    <w:tmpl w:val="3A8A408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902483"/>
    <w:multiLevelType w:val="hybridMultilevel"/>
    <w:tmpl w:val="4B24325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404C8C"/>
    <w:multiLevelType w:val="hybridMultilevel"/>
    <w:tmpl w:val="EA183AB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BC74A5"/>
    <w:multiLevelType w:val="hybridMultilevel"/>
    <w:tmpl w:val="7526B29E"/>
    <w:lvl w:ilvl="0" w:tplc="1FA6653E">
      <w:start w:val="1"/>
      <w:numFmt w:val="lowerRoman"/>
      <w:lvlText w:val="(%1)"/>
      <w:lvlJc w:val="left"/>
      <w:pPr>
        <w:ind w:left="1428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19B4587"/>
    <w:multiLevelType w:val="hybridMultilevel"/>
    <w:tmpl w:val="B8120E1E"/>
    <w:lvl w:ilvl="0" w:tplc="064E412C">
      <w:start w:val="1"/>
      <w:numFmt w:val="upperRoman"/>
      <w:lvlText w:val="%1."/>
      <w:lvlJc w:val="left"/>
      <w:pPr>
        <w:ind w:left="4690" w:hanging="720"/>
      </w:pPr>
      <w:rPr>
        <w:rFonts w:ascii="Tahoma" w:hAnsi="Tahoma" w:cs="Tahoma" w:hint="default"/>
        <w:sz w:val="22"/>
        <w:szCs w:val="22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325541"/>
    <w:multiLevelType w:val="hybridMultilevel"/>
    <w:tmpl w:val="B5CE4C9E"/>
    <w:lvl w:ilvl="0" w:tplc="B7D4E940">
      <w:start w:val="1"/>
      <w:numFmt w:val="decimal"/>
      <w:lvlText w:val="%1."/>
      <w:lvlJc w:val="left"/>
      <w:pPr>
        <w:ind w:left="720" w:hanging="360"/>
      </w:pPr>
      <w:rPr>
        <w:rFonts w:ascii="Noto Sans" w:hAnsi="Noto Sans" w:cs="Noto Sans" w:hint="default"/>
        <w:b/>
        <w:sz w:val="22"/>
        <w:szCs w:val="2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3D4FC1"/>
    <w:multiLevelType w:val="multilevel"/>
    <w:tmpl w:val="F274D2B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0" w15:restartNumberingAfterBreak="0">
    <w:nsid w:val="6DC436F0"/>
    <w:multiLevelType w:val="hybridMultilevel"/>
    <w:tmpl w:val="DB70150A"/>
    <w:lvl w:ilvl="0" w:tplc="4CBEAC9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7"/>
  </w:num>
  <w:num w:numId="5">
    <w:abstractNumId w:val="3"/>
  </w:num>
  <w:num w:numId="6">
    <w:abstractNumId w:val="9"/>
  </w:num>
  <w:num w:numId="7">
    <w:abstractNumId w:val="0"/>
  </w:num>
  <w:num w:numId="8">
    <w:abstractNumId w:val="1"/>
  </w:num>
  <w:num w:numId="9">
    <w:abstractNumId w:val="8"/>
  </w:num>
  <w:num w:numId="10">
    <w:abstractNumId w:val="6"/>
  </w:num>
  <w:num w:numId="11">
    <w:abstractNumId w:val="10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61CF"/>
    <w:rsid w:val="0000011B"/>
    <w:rsid w:val="0000344F"/>
    <w:rsid w:val="00003F92"/>
    <w:rsid w:val="00007D0F"/>
    <w:rsid w:val="00011BFB"/>
    <w:rsid w:val="00014F75"/>
    <w:rsid w:val="00015350"/>
    <w:rsid w:val="000161CF"/>
    <w:rsid w:val="0001705E"/>
    <w:rsid w:val="00017381"/>
    <w:rsid w:val="000208AE"/>
    <w:rsid w:val="0002174A"/>
    <w:rsid w:val="000232ED"/>
    <w:rsid w:val="000235FD"/>
    <w:rsid w:val="000237B0"/>
    <w:rsid w:val="00023AE2"/>
    <w:rsid w:val="00023F83"/>
    <w:rsid w:val="000250B8"/>
    <w:rsid w:val="000270B6"/>
    <w:rsid w:val="00027BC1"/>
    <w:rsid w:val="0003211E"/>
    <w:rsid w:val="00033013"/>
    <w:rsid w:val="00033964"/>
    <w:rsid w:val="00035DEF"/>
    <w:rsid w:val="00036108"/>
    <w:rsid w:val="000367A8"/>
    <w:rsid w:val="00040745"/>
    <w:rsid w:val="0004076A"/>
    <w:rsid w:val="00041719"/>
    <w:rsid w:val="00043EBF"/>
    <w:rsid w:val="000457F6"/>
    <w:rsid w:val="00045F0F"/>
    <w:rsid w:val="00047DD8"/>
    <w:rsid w:val="00051D67"/>
    <w:rsid w:val="00051ED0"/>
    <w:rsid w:val="000529B6"/>
    <w:rsid w:val="00052B8E"/>
    <w:rsid w:val="0005448A"/>
    <w:rsid w:val="00054BA1"/>
    <w:rsid w:val="000564DA"/>
    <w:rsid w:val="0005742A"/>
    <w:rsid w:val="000575FE"/>
    <w:rsid w:val="00057725"/>
    <w:rsid w:val="000578E8"/>
    <w:rsid w:val="00057B4B"/>
    <w:rsid w:val="00060355"/>
    <w:rsid w:val="00062DCB"/>
    <w:rsid w:val="00063213"/>
    <w:rsid w:val="000633A1"/>
    <w:rsid w:val="0006386B"/>
    <w:rsid w:val="0006455B"/>
    <w:rsid w:val="00066F15"/>
    <w:rsid w:val="00067348"/>
    <w:rsid w:val="000706AF"/>
    <w:rsid w:val="00070A23"/>
    <w:rsid w:val="0007153A"/>
    <w:rsid w:val="00071660"/>
    <w:rsid w:val="00072636"/>
    <w:rsid w:val="0007689A"/>
    <w:rsid w:val="00076F56"/>
    <w:rsid w:val="00081030"/>
    <w:rsid w:val="00081E2B"/>
    <w:rsid w:val="000822AE"/>
    <w:rsid w:val="00082AF1"/>
    <w:rsid w:val="00083FD8"/>
    <w:rsid w:val="00084641"/>
    <w:rsid w:val="00084CAC"/>
    <w:rsid w:val="00085BA0"/>
    <w:rsid w:val="00085DA3"/>
    <w:rsid w:val="00086DB6"/>
    <w:rsid w:val="00090606"/>
    <w:rsid w:val="0009116C"/>
    <w:rsid w:val="000920EC"/>
    <w:rsid w:val="00092271"/>
    <w:rsid w:val="000934D0"/>
    <w:rsid w:val="00094F74"/>
    <w:rsid w:val="00096F6D"/>
    <w:rsid w:val="00097260"/>
    <w:rsid w:val="000974CB"/>
    <w:rsid w:val="000A0EE6"/>
    <w:rsid w:val="000A112B"/>
    <w:rsid w:val="000A1F89"/>
    <w:rsid w:val="000A21DD"/>
    <w:rsid w:val="000A43C3"/>
    <w:rsid w:val="000A4589"/>
    <w:rsid w:val="000A697A"/>
    <w:rsid w:val="000B1235"/>
    <w:rsid w:val="000B14FF"/>
    <w:rsid w:val="000B1B81"/>
    <w:rsid w:val="000B20CD"/>
    <w:rsid w:val="000B3030"/>
    <w:rsid w:val="000C300A"/>
    <w:rsid w:val="000C4488"/>
    <w:rsid w:val="000C4610"/>
    <w:rsid w:val="000C533F"/>
    <w:rsid w:val="000C69A3"/>
    <w:rsid w:val="000D3D11"/>
    <w:rsid w:val="000D42D5"/>
    <w:rsid w:val="000D448A"/>
    <w:rsid w:val="000D4B09"/>
    <w:rsid w:val="000D5365"/>
    <w:rsid w:val="000D5654"/>
    <w:rsid w:val="000D5E05"/>
    <w:rsid w:val="000D685D"/>
    <w:rsid w:val="000D6B95"/>
    <w:rsid w:val="000D6BCE"/>
    <w:rsid w:val="000E0220"/>
    <w:rsid w:val="000E179A"/>
    <w:rsid w:val="000E18B6"/>
    <w:rsid w:val="000E6287"/>
    <w:rsid w:val="000E69F2"/>
    <w:rsid w:val="000E6A03"/>
    <w:rsid w:val="000E7585"/>
    <w:rsid w:val="000E7C15"/>
    <w:rsid w:val="000E7E2B"/>
    <w:rsid w:val="000F269C"/>
    <w:rsid w:val="000F28F0"/>
    <w:rsid w:val="000F2AB2"/>
    <w:rsid w:val="000F2F1B"/>
    <w:rsid w:val="000F3B75"/>
    <w:rsid w:val="000F4706"/>
    <w:rsid w:val="000F4FF6"/>
    <w:rsid w:val="000F616B"/>
    <w:rsid w:val="001011A1"/>
    <w:rsid w:val="00106184"/>
    <w:rsid w:val="00106226"/>
    <w:rsid w:val="001062B3"/>
    <w:rsid w:val="001069D8"/>
    <w:rsid w:val="001119AE"/>
    <w:rsid w:val="00111F39"/>
    <w:rsid w:val="00113258"/>
    <w:rsid w:val="00117A92"/>
    <w:rsid w:val="001221AC"/>
    <w:rsid w:val="00122F8F"/>
    <w:rsid w:val="0012325B"/>
    <w:rsid w:val="00124A62"/>
    <w:rsid w:val="00124DBF"/>
    <w:rsid w:val="001263B8"/>
    <w:rsid w:val="00126619"/>
    <w:rsid w:val="00130D58"/>
    <w:rsid w:val="00132467"/>
    <w:rsid w:val="00132AA7"/>
    <w:rsid w:val="001361B9"/>
    <w:rsid w:val="00136255"/>
    <w:rsid w:val="00136A31"/>
    <w:rsid w:val="00140670"/>
    <w:rsid w:val="001408B0"/>
    <w:rsid w:val="00142CA3"/>
    <w:rsid w:val="00143853"/>
    <w:rsid w:val="00143A9D"/>
    <w:rsid w:val="0014517F"/>
    <w:rsid w:val="00145A35"/>
    <w:rsid w:val="00145FAC"/>
    <w:rsid w:val="00147CC2"/>
    <w:rsid w:val="00150599"/>
    <w:rsid w:val="001506E8"/>
    <w:rsid w:val="00150816"/>
    <w:rsid w:val="00150827"/>
    <w:rsid w:val="001508C0"/>
    <w:rsid w:val="00151796"/>
    <w:rsid w:val="00151CED"/>
    <w:rsid w:val="00152115"/>
    <w:rsid w:val="001523FD"/>
    <w:rsid w:val="0015251A"/>
    <w:rsid w:val="0015281B"/>
    <w:rsid w:val="00152A10"/>
    <w:rsid w:val="001533FC"/>
    <w:rsid w:val="00153F4B"/>
    <w:rsid w:val="00154378"/>
    <w:rsid w:val="001544D8"/>
    <w:rsid w:val="00154B10"/>
    <w:rsid w:val="001556E5"/>
    <w:rsid w:val="00156AFA"/>
    <w:rsid w:val="0015792F"/>
    <w:rsid w:val="00160CB6"/>
    <w:rsid w:val="00160CE2"/>
    <w:rsid w:val="00161CC8"/>
    <w:rsid w:val="00163F6E"/>
    <w:rsid w:val="0016455F"/>
    <w:rsid w:val="00164727"/>
    <w:rsid w:val="001674B0"/>
    <w:rsid w:val="001715F7"/>
    <w:rsid w:val="00172054"/>
    <w:rsid w:val="00173EC2"/>
    <w:rsid w:val="001740C2"/>
    <w:rsid w:val="00174BA5"/>
    <w:rsid w:val="00174D01"/>
    <w:rsid w:val="001770BC"/>
    <w:rsid w:val="00177F27"/>
    <w:rsid w:val="00184037"/>
    <w:rsid w:val="00185AC4"/>
    <w:rsid w:val="00187F0C"/>
    <w:rsid w:val="00190399"/>
    <w:rsid w:val="00190458"/>
    <w:rsid w:val="00190D9A"/>
    <w:rsid w:val="001920D7"/>
    <w:rsid w:val="00192312"/>
    <w:rsid w:val="001931A7"/>
    <w:rsid w:val="00194E22"/>
    <w:rsid w:val="00196AF5"/>
    <w:rsid w:val="0019719A"/>
    <w:rsid w:val="00197579"/>
    <w:rsid w:val="001A1B55"/>
    <w:rsid w:val="001A2929"/>
    <w:rsid w:val="001A4301"/>
    <w:rsid w:val="001A4546"/>
    <w:rsid w:val="001A530F"/>
    <w:rsid w:val="001A5679"/>
    <w:rsid w:val="001A671C"/>
    <w:rsid w:val="001A6835"/>
    <w:rsid w:val="001A7606"/>
    <w:rsid w:val="001A7B74"/>
    <w:rsid w:val="001B0333"/>
    <w:rsid w:val="001B141D"/>
    <w:rsid w:val="001B4DFA"/>
    <w:rsid w:val="001B4F38"/>
    <w:rsid w:val="001B61F0"/>
    <w:rsid w:val="001B6C12"/>
    <w:rsid w:val="001B7229"/>
    <w:rsid w:val="001C06B4"/>
    <w:rsid w:val="001C0C7D"/>
    <w:rsid w:val="001C29AB"/>
    <w:rsid w:val="001C5B66"/>
    <w:rsid w:val="001C677F"/>
    <w:rsid w:val="001C6FFE"/>
    <w:rsid w:val="001C7690"/>
    <w:rsid w:val="001D0191"/>
    <w:rsid w:val="001D0C1E"/>
    <w:rsid w:val="001D2323"/>
    <w:rsid w:val="001D23FF"/>
    <w:rsid w:val="001D2403"/>
    <w:rsid w:val="001D267C"/>
    <w:rsid w:val="001D34DB"/>
    <w:rsid w:val="001D363F"/>
    <w:rsid w:val="001D3D6A"/>
    <w:rsid w:val="001D5335"/>
    <w:rsid w:val="001D5DB5"/>
    <w:rsid w:val="001D5F33"/>
    <w:rsid w:val="001D6B84"/>
    <w:rsid w:val="001D7268"/>
    <w:rsid w:val="001D72FE"/>
    <w:rsid w:val="001D74BE"/>
    <w:rsid w:val="001E0E15"/>
    <w:rsid w:val="001E0FD5"/>
    <w:rsid w:val="001E238F"/>
    <w:rsid w:val="001E363A"/>
    <w:rsid w:val="001E611F"/>
    <w:rsid w:val="001E65E9"/>
    <w:rsid w:val="001E7BA8"/>
    <w:rsid w:val="001F0720"/>
    <w:rsid w:val="001F1BA6"/>
    <w:rsid w:val="001F269B"/>
    <w:rsid w:val="001F52BC"/>
    <w:rsid w:val="001F5A8A"/>
    <w:rsid w:val="001F6C85"/>
    <w:rsid w:val="00203F76"/>
    <w:rsid w:val="00204EBC"/>
    <w:rsid w:val="002068ED"/>
    <w:rsid w:val="00210D66"/>
    <w:rsid w:val="00211502"/>
    <w:rsid w:val="002115CB"/>
    <w:rsid w:val="00214A2D"/>
    <w:rsid w:val="00214EE0"/>
    <w:rsid w:val="002158F9"/>
    <w:rsid w:val="00215C18"/>
    <w:rsid w:val="00216174"/>
    <w:rsid w:val="002166B7"/>
    <w:rsid w:val="0021724D"/>
    <w:rsid w:val="0021731C"/>
    <w:rsid w:val="00217FFB"/>
    <w:rsid w:val="00221EF8"/>
    <w:rsid w:val="002228C8"/>
    <w:rsid w:val="0022561D"/>
    <w:rsid w:val="00226593"/>
    <w:rsid w:val="0022671D"/>
    <w:rsid w:val="00226CD5"/>
    <w:rsid w:val="0022786D"/>
    <w:rsid w:val="00227AB0"/>
    <w:rsid w:val="00231153"/>
    <w:rsid w:val="002319A3"/>
    <w:rsid w:val="00231D12"/>
    <w:rsid w:val="002341BD"/>
    <w:rsid w:val="00237BB4"/>
    <w:rsid w:val="00240E14"/>
    <w:rsid w:val="002425B6"/>
    <w:rsid w:val="002425FC"/>
    <w:rsid w:val="0024281B"/>
    <w:rsid w:val="00242AF0"/>
    <w:rsid w:val="00242D89"/>
    <w:rsid w:val="002439E1"/>
    <w:rsid w:val="00244E0F"/>
    <w:rsid w:val="00245392"/>
    <w:rsid w:val="00245A1E"/>
    <w:rsid w:val="00245D4D"/>
    <w:rsid w:val="002472B9"/>
    <w:rsid w:val="00251591"/>
    <w:rsid w:val="002535AD"/>
    <w:rsid w:val="0025424F"/>
    <w:rsid w:val="00255803"/>
    <w:rsid w:val="00256882"/>
    <w:rsid w:val="0025764E"/>
    <w:rsid w:val="00257767"/>
    <w:rsid w:val="00257B92"/>
    <w:rsid w:val="00260222"/>
    <w:rsid w:val="002604F4"/>
    <w:rsid w:val="00261353"/>
    <w:rsid w:val="00261F38"/>
    <w:rsid w:val="00262CD3"/>
    <w:rsid w:val="00263E81"/>
    <w:rsid w:val="00264063"/>
    <w:rsid w:val="002640B6"/>
    <w:rsid w:val="002645DF"/>
    <w:rsid w:val="002658D0"/>
    <w:rsid w:val="002659C3"/>
    <w:rsid w:val="00266508"/>
    <w:rsid w:val="00270F07"/>
    <w:rsid w:val="00275CD5"/>
    <w:rsid w:val="0028099E"/>
    <w:rsid w:val="002810A2"/>
    <w:rsid w:val="00281D45"/>
    <w:rsid w:val="0028361B"/>
    <w:rsid w:val="002855D4"/>
    <w:rsid w:val="002857C1"/>
    <w:rsid w:val="002876CE"/>
    <w:rsid w:val="00290336"/>
    <w:rsid w:val="00290A78"/>
    <w:rsid w:val="00291067"/>
    <w:rsid w:val="00292F92"/>
    <w:rsid w:val="0029519B"/>
    <w:rsid w:val="0029676E"/>
    <w:rsid w:val="00296820"/>
    <w:rsid w:val="002973CE"/>
    <w:rsid w:val="0029766E"/>
    <w:rsid w:val="0029790C"/>
    <w:rsid w:val="002A3369"/>
    <w:rsid w:val="002A6925"/>
    <w:rsid w:val="002B0F24"/>
    <w:rsid w:val="002B12F8"/>
    <w:rsid w:val="002B27AE"/>
    <w:rsid w:val="002B312E"/>
    <w:rsid w:val="002B3226"/>
    <w:rsid w:val="002B5261"/>
    <w:rsid w:val="002B5AF0"/>
    <w:rsid w:val="002B7525"/>
    <w:rsid w:val="002B79F5"/>
    <w:rsid w:val="002B7CC0"/>
    <w:rsid w:val="002B7EB6"/>
    <w:rsid w:val="002C0594"/>
    <w:rsid w:val="002C158D"/>
    <w:rsid w:val="002C2ADB"/>
    <w:rsid w:val="002C4B0C"/>
    <w:rsid w:val="002C5A8E"/>
    <w:rsid w:val="002C63B1"/>
    <w:rsid w:val="002C7AA9"/>
    <w:rsid w:val="002D2358"/>
    <w:rsid w:val="002D24B1"/>
    <w:rsid w:val="002D27BC"/>
    <w:rsid w:val="002D3564"/>
    <w:rsid w:val="002D38EC"/>
    <w:rsid w:val="002D676F"/>
    <w:rsid w:val="002D6E92"/>
    <w:rsid w:val="002E2727"/>
    <w:rsid w:val="002E6665"/>
    <w:rsid w:val="002E744C"/>
    <w:rsid w:val="002E7527"/>
    <w:rsid w:val="002E7DD9"/>
    <w:rsid w:val="002F0189"/>
    <w:rsid w:val="002F01E7"/>
    <w:rsid w:val="002F0B7C"/>
    <w:rsid w:val="002F152B"/>
    <w:rsid w:val="002F18E9"/>
    <w:rsid w:val="002F2C98"/>
    <w:rsid w:val="002F5FE1"/>
    <w:rsid w:val="002F6788"/>
    <w:rsid w:val="002F682A"/>
    <w:rsid w:val="002F70C9"/>
    <w:rsid w:val="00301B98"/>
    <w:rsid w:val="003038DD"/>
    <w:rsid w:val="00303A70"/>
    <w:rsid w:val="00304AE1"/>
    <w:rsid w:val="00304BBF"/>
    <w:rsid w:val="003057EE"/>
    <w:rsid w:val="0030590A"/>
    <w:rsid w:val="00306C8D"/>
    <w:rsid w:val="00310860"/>
    <w:rsid w:val="0031121B"/>
    <w:rsid w:val="00311EFF"/>
    <w:rsid w:val="003125B1"/>
    <w:rsid w:val="00312619"/>
    <w:rsid w:val="0031263F"/>
    <w:rsid w:val="003130BD"/>
    <w:rsid w:val="003136B0"/>
    <w:rsid w:val="0031497E"/>
    <w:rsid w:val="00314CD3"/>
    <w:rsid w:val="0031519A"/>
    <w:rsid w:val="00315E6D"/>
    <w:rsid w:val="00316153"/>
    <w:rsid w:val="0031677C"/>
    <w:rsid w:val="00316B58"/>
    <w:rsid w:val="003208EB"/>
    <w:rsid w:val="003213C4"/>
    <w:rsid w:val="00323940"/>
    <w:rsid w:val="00325581"/>
    <w:rsid w:val="003255B0"/>
    <w:rsid w:val="003304F6"/>
    <w:rsid w:val="003305F3"/>
    <w:rsid w:val="0033233C"/>
    <w:rsid w:val="00332E6C"/>
    <w:rsid w:val="00333176"/>
    <w:rsid w:val="00333AAA"/>
    <w:rsid w:val="00334F16"/>
    <w:rsid w:val="0033607B"/>
    <w:rsid w:val="0033712E"/>
    <w:rsid w:val="00337D98"/>
    <w:rsid w:val="00337DAF"/>
    <w:rsid w:val="003414A2"/>
    <w:rsid w:val="0034212F"/>
    <w:rsid w:val="003435EB"/>
    <w:rsid w:val="00343A41"/>
    <w:rsid w:val="003441A3"/>
    <w:rsid w:val="00345986"/>
    <w:rsid w:val="00347378"/>
    <w:rsid w:val="003476EB"/>
    <w:rsid w:val="00350182"/>
    <w:rsid w:val="00351118"/>
    <w:rsid w:val="00352622"/>
    <w:rsid w:val="003531AD"/>
    <w:rsid w:val="00353232"/>
    <w:rsid w:val="00353520"/>
    <w:rsid w:val="00353885"/>
    <w:rsid w:val="00355EF3"/>
    <w:rsid w:val="003561C9"/>
    <w:rsid w:val="00356678"/>
    <w:rsid w:val="00356FF1"/>
    <w:rsid w:val="003602A5"/>
    <w:rsid w:val="00361B44"/>
    <w:rsid w:val="00362A93"/>
    <w:rsid w:val="00362C7D"/>
    <w:rsid w:val="00362DFC"/>
    <w:rsid w:val="003637C2"/>
    <w:rsid w:val="00364FBC"/>
    <w:rsid w:val="00365239"/>
    <w:rsid w:val="00365862"/>
    <w:rsid w:val="00365DE3"/>
    <w:rsid w:val="00366ADD"/>
    <w:rsid w:val="0036749E"/>
    <w:rsid w:val="00367F49"/>
    <w:rsid w:val="00371E3C"/>
    <w:rsid w:val="00371FE9"/>
    <w:rsid w:val="00372B19"/>
    <w:rsid w:val="00372EE5"/>
    <w:rsid w:val="0037492B"/>
    <w:rsid w:val="0037798C"/>
    <w:rsid w:val="00380DD2"/>
    <w:rsid w:val="00380F90"/>
    <w:rsid w:val="00383CF4"/>
    <w:rsid w:val="0038540F"/>
    <w:rsid w:val="003861F9"/>
    <w:rsid w:val="00386FB9"/>
    <w:rsid w:val="00387386"/>
    <w:rsid w:val="003879E2"/>
    <w:rsid w:val="00387B64"/>
    <w:rsid w:val="003910B6"/>
    <w:rsid w:val="00392438"/>
    <w:rsid w:val="0039335A"/>
    <w:rsid w:val="00393F8F"/>
    <w:rsid w:val="0039486C"/>
    <w:rsid w:val="00395092"/>
    <w:rsid w:val="0039544D"/>
    <w:rsid w:val="00396AC2"/>
    <w:rsid w:val="00397B4F"/>
    <w:rsid w:val="003A078C"/>
    <w:rsid w:val="003A1639"/>
    <w:rsid w:val="003A4C3E"/>
    <w:rsid w:val="003A503D"/>
    <w:rsid w:val="003A5FA6"/>
    <w:rsid w:val="003B29E0"/>
    <w:rsid w:val="003B487B"/>
    <w:rsid w:val="003B5060"/>
    <w:rsid w:val="003B5224"/>
    <w:rsid w:val="003B56CB"/>
    <w:rsid w:val="003B5889"/>
    <w:rsid w:val="003B6419"/>
    <w:rsid w:val="003B64B3"/>
    <w:rsid w:val="003B6954"/>
    <w:rsid w:val="003B7993"/>
    <w:rsid w:val="003B7CEA"/>
    <w:rsid w:val="003C0053"/>
    <w:rsid w:val="003C01DF"/>
    <w:rsid w:val="003C0D12"/>
    <w:rsid w:val="003C100A"/>
    <w:rsid w:val="003C2607"/>
    <w:rsid w:val="003C2F8C"/>
    <w:rsid w:val="003C3F06"/>
    <w:rsid w:val="003C7C3B"/>
    <w:rsid w:val="003D12BA"/>
    <w:rsid w:val="003D303E"/>
    <w:rsid w:val="003D370F"/>
    <w:rsid w:val="003D4F49"/>
    <w:rsid w:val="003D7638"/>
    <w:rsid w:val="003D7FCF"/>
    <w:rsid w:val="003E1075"/>
    <w:rsid w:val="003E15FC"/>
    <w:rsid w:val="003E26ED"/>
    <w:rsid w:val="003E36A0"/>
    <w:rsid w:val="003E7588"/>
    <w:rsid w:val="003F1021"/>
    <w:rsid w:val="003F1053"/>
    <w:rsid w:val="003F16D9"/>
    <w:rsid w:val="003F4396"/>
    <w:rsid w:val="003F4A58"/>
    <w:rsid w:val="003F653C"/>
    <w:rsid w:val="003F6E25"/>
    <w:rsid w:val="00400121"/>
    <w:rsid w:val="004001C9"/>
    <w:rsid w:val="0040089E"/>
    <w:rsid w:val="0040420B"/>
    <w:rsid w:val="00404B2D"/>
    <w:rsid w:val="00404DBD"/>
    <w:rsid w:val="00405081"/>
    <w:rsid w:val="00405A65"/>
    <w:rsid w:val="00410396"/>
    <w:rsid w:val="00413532"/>
    <w:rsid w:val="00414D1E"/>
    <w:rsid w:val="004152BC"/>
    <w:rsid w:val="004157A1"/>
    <w:rsid w:val="00415834"/>
    <w:rsid w:val="004205B2"/>
    <w:rsid w:val="00421483"/>
    <w:rsid w:val="00422667"/>
    <w:rsid w:val="00423762"/>
    <w:rsid w:val="00423AD6"/>
    <w:rsid w:val="00425501"/>
    <w:rsid w:val="0042663D"/>
    <w:rsid w:val="004273F1"/>
    <w:rsid w:val="0042761E"/>
    <w:rsid w:val="0043010A"/>
    <w:rsid w:val="004319F7"/>
    <w:rsid w:val="004349F3"/>
    <w:rsid w:val="0043568A"/>
    <w:rsid w:val="004362FF"/>
    <w:rsid w:val="004375A2"/>
    <w:rsid w:val="00437779"/>
    <w:rsid w:val="0044050D"/>
    <w:rsid w:val="004406E8"/>
    <w:rsid w:val="00441C71"/>
    <w:rsid w:val="00441E11"/>
    <w:rsid w:val="004441F9"/>
    <w:rsid w:val="00444D4B"/>
    <w:rsid w:val="0044506C"/>
    <w:rsid w:val="00445847"/>
    <w:rsid w:val="00445CFD"/>
    <w:rsid w:val="00447093"/>
    <w:rsid w:val="00447BC1"/>
    <w:rsid w:val="00447D52"/>
    <w:rsid w:val="0045048E"/>
    <w:rsid w:val="00450622"/>
    <w:rsid w:val="00450741"/>
    <w:rsid w:val="0045324B"/>
    <w:rsid w:val="00453841"/>
    <w:rsid w:val="00456C62"/>
    <w:rsid w:val="004574A9"/>
    <w:rsid w:val="00460C1D"/>
    <w:rsid w:val="00460E22"/>
    <w:rsid w:val="00462224"/>
    <w:rsid w:val="00462F15"/>
    <w:rsid w:val="004636FA"/>
    <w:rsid w:val="00464437"/>
    <w:rsid w:val="00464EE2"/>
    <w:rsid w:val="00466289"/>
    <w:rsid w:val="00467E30"/>
    <w:rsid w:val="004700B5"/>
    <w:rsid w:val="0047248D"/>
    <w:rsid w:val="00473982"/>
    <w:rsid w:val="004760C3"/>
    <w:rsid w:val="00477CCA"/>
    <w:rsid w:val="00480025"/>
    <w:rsid w:val="00480485"/>
    <w:rsid w:val="00480952"/>
    <w:rsid w:val="00480F07"/>
    <w:rsid w:val="00481A57"/>
    <w:rsid w:val="00481ECE"/>
    <w:rsid w:val="00481FF4"/>
    <w:rsid w:val="0048413E"/>
    <w:rsid w:val="00485728"/>
    <w:rsid w:val="00485E13"/>
    <w:rsid w:val="00490CA6"/>
    <w:rsid w:val="004936B4"/>
    <w:rsid w:val="00495114"/>
    <w:rsid w:val="004A0C52"/>
    <w:rsid w:val="004A158A"/>
    <w:rsid w:val="004A1993"/>
    <w:rsid w:val="004A2739"/>
    <w:rsid w:val="004A2CB6"/>
    <w:rsid w:val="004A34FE"/>
    <w:rsid w:val="004A42FB"/>
    <w:rsid w:val="004A67F1"/>
    <w:rsid w:val="004A7ADF"/>
    <w:rsid w:val="004B1F48"/>
    <w:rsid w:val="004B29EE"/>
    <w:rsid w:val="004B2ED9"/>
    <w:rsid w:val="004B3225"/>
    <w:rsid w:val="004B35FB"/>
    <w:rsid w:val="004B3D4C"/>
    <w:rsid w:val="004B40F6"/>
    <w:rsid w:val="004B485E"/>
    <w:rsid w:val="004B5898"/>
    <w:rsid w:val="004B7278"/>
    <w:rsid w:val="004B795F"/>
    <w:rsid w:val="004C0446"/>
    <w:rsid w:val="004C2BDC"/>
    <w:rsid w:val="004C4ACD"/>
    <w:rsid w:val="004C51B0"/>
    <w:rsid w:val="004C55D4"/>
    <w:rsid w:val="004C6022"/>
    <w:rsid w:val="004C61F8"/>
    <w:rsid w:val="004D0BAD"/>
    <w:rsid w:val="004D301F"/>
    <w:rsid w:val="004D4D2D"/>
    <w:rsid w:val="004D536F"/>
    <w:rsid w:val="004D5839"/>
    <w:rsid w:val="004D603F"/>
    <w:rsid w:val="004D6413"/>
    <w:rsid w:val="004D6ACC"/>
    <w:rsid w:val="004D6DE0"/>
    <w:rsid w:val="004D6DE4"/>
    <w:rsid w:val="004E07EC"/>
    <w:rsid w:val="004E0A25"/>
    <w:rsid w:val="004E1346"/>
    <w:rsid w:val="004E2230"/>
    <w:rsid w:val="004E4566"/>
    <w:rsid w:val="004E6784"/>
    <w:rsid w:val="004E7196"/>
    <w:rsid w:val="004E7BBB"/>
    <w:rsid w:val="004F1DDA"/>
    <w:rsid w:val="004F4821"/>
    <w:rsid w:val="004F482A"/>
    <w:rsid w:val="004F5171"/>
    <w:rsid w:val="004F5574"/>
    <w:rsid w:val="004F62E9"/>
    <w:rsid w:val="0050125A"/>
    <w:rsid w:val="00501E40"/>
    <w:rsid w:val="00502F06"/>
    <w:rsid w:val="005039AC"/>
    <w:rsid w:val="00504D1B"/>
    <w:rsid w:val="00504ED7"/>
    <w:rsid w:val="00505F83"/>
    <w:rsid w:val="005123A7"/>
    <w:rsid w:val="00512DFA"/>
    <w:rsid w:val="00513854"/>
    <w:rsid w:val="00515FF2"/>
    <w:rsid w:val="005170C2"/>
    <w:rsid w:val="00521FAF"/>
    <w:rsid w:val="0052263B"/>
    <w:rsid w:val="00523277"/>
    <w:rsid w:val="00523DCF"/>
    <w:rsid w:val="00524072"/>
    <w:rsid w:val="00525C71"/>
    <w:rsid w:val="0053083F"/>
    <w:rsid w:val="00530B1F"/>
    <w:rsid w:val="005318E5"/>
    <w:rsid w:val="00534B61"/>
    <w:rsid w:val="005353EE"/>
    <w:rsid w:val="00535C4F"/>
    <w:rsid w:val="00536431"/>
    <w:rsid w:val="005366D0"/>
    <w:rsid w:val="00537E8D"/>
    <w:rsid w:val="0054279A"/>
    <w:rsid w:val="005430FE"/>
    <w:rsid w:val="005452B9"/>
    <w:rsid w:val="00546100"/>
    <w:rsid w:val="00550F22"/>
    <w:rsid w:val="00551048"/>
    <w:rsid w:val="00551A06"/>
    <w:rsid w:val="00553975"/>
    <w:rsid w:val="0055562B"/>
    <w:rsid w:val="00555EE0"/>
    <w:rsid w:val="00556398"/>
    <w:rsid w:val="005568E5"/>
    <w:rsid w:val="00557208"/>
    <w:rsid w:val="005573AA"/>
    <w:rsid w:val="00557FD0"/>
    <w:rsid w:val="00560AAA"/>
    <w:rsid w:val="00561239"/>
    <w:rsid w:val="00561D71"/>
    <w:rsid w:val="00562255"/>
    <w:rsid w:val="00562AC6"/>
    <w:rsid w:val="005630CD"/>
    <w:rsid w:val="005636ED"/>
    <w:rsid w:val="00563D25"/>
    <w:rsid w:val="00563E7F"/>
    <w:rsid w:val="00564D2C"/>
    <w:rsid w:val="00565C42"/>
    <w:rsid w:val="00566C7A"/>
    <w:rsid w:val="00566DA6"/>
    <w:rsid w:val="005675E8"/>
    <w:rsid w:val="00571C81"/>
    <w:rsid w:val="0057243C"/>
    <w:rsid w:val="00572BBD"/>
    <w:rsid w:val="00572C5A"/>
    <w:rsid w:val="00573B71"/>
    <w:rsid w:val="00574928"/>
    <w:rsid w:val="005749DE"/>
    <w:rsid w:val="00574E56"/>
    <w:rsid w:val="005751C8"/>
    <w:rsid w:val="005754B3"/>
    <w:rsid w:val="0057607F"/>
    <w:rsid w:val="00576894"/>
    <w:rsid w:val="00577E9A"/>
    <w:rsid w:val="00580566"/>
    <w:rsid w:val="0058179D"/>
    <w:rsid w:val="005831FE"/>
    <w:rsid w:val="00584DC5"/>
    <w:rsid w:val="0058746D"/>
    <w:rsid w:val="005910BE"/>
    <w:rsid w:val="005924F1"/>
    <w:rsid w:val="005938D6"/>
    <w:rsid w:val="00597ABE"/>
    <w:rsid w:val="005A0EEC"/>
    <w:rsid w:val="005A13CB"/>
    <w:rsid w:val="005A147F"/>
    <w:rsid w:val="005A1EB4"/>
    <w:rsid w:val="005A3358"/>
    <w:rsid w:val="005A36F0"/>
    <w:rsid w:val="005A40D3"/>
    <w:rsid w:val="005A4A0B"/>
    <w:rsid w:val="005A586E"/>
    <w:rsid w:val="005A6F44"/>
    <w:rsid w:val="005B10C6"/>
    <w:rsid w:val="005B27C4"/>
    <w:rsid w:val="005B28CA"/>
    <w:rsid w:val="005B509E"/>
    <w:rsid w:val="005B57B4"/>
    <w:rsid w:val="005B710D"/>
    <w:rsid w:val="005C00F7"/>
    <w:rsid w:val="005C05EA"/>
    <w:rsid w:val="005C183B"/>
    <w:rsid w:val="005C2068"/>
    <w:rsid w:val="005C2D2B"/>
    <w:rsid w:val="005C6AE2"/>
    <w:rsid w:val="005C6B43"/>
    <w:rsid w:val="005C7943"/>
    <w:rsid w:val="005D16CF"/>
    <w:rsid w:val="005D2C6B"/>
    <w:rsid w:val="005D497E"/>
    <w:rsid w:val="005D4C2A"/>
    <w:rsid w:val="005E1130"/>
    <w:rsid w:val="005E3163"/>
    <w:rsid w:val="005E32EC"/>
    <w:rsid w:val="005E3818"/>
    <w:rsid w:val="005E4EB6"/>
    <w:rsid w:val="005E4FAC"/>
    <w:rsid w:val="005E5BEA"/>
    <w:rsid w:val="005E5CE9"/>
    <w:rsid w:val="005E6439"/>
    <w:rsid w:val="005E6FEE"/>
    <w:rsid w:val="005F015A"/>
    <w:rsid w:val="005F0730"/>
    <w:rsid w:val="005F12A9"/>
    <w:rsid w:val="005F1A2F"/>
    <w:rsid w:val="005F21B7"/>
    <w:rsid w:val="005F4278"/>
    <w:rsid w:val="005F4558"/>
    <w:rsid w:val="005F7CB0"/>
    <w:rsid w:val="00600248"/>
    <w:rsid w:val="006007AF"/>
    <w:rsid w:val="006023F5"/>
    <w:rsid w:val="00603172"/>
    <w:rsid w:val="006033C7"/>
    <w:rsid w:val="00603677"/>
    <w:rsid w:val="00603EE4"/>
    <w:rsid w:val="006046FF"/>
    <w:rsid w:val="0060498F"/>
    <w:rsid w:val="00607269"/>
    <w:rsid w:val="00607535"/>
    <w:rsid w:val="00610A3C"/>
    <w:rsid w:val="00611C76"/>
    <w:rsid w:val="00612BBF"/>
    <w:rsid w:val="00612D44"/>
    <w:rsid w:val="00616054"/>
    <w:rsid w:val="00616BFC"/>
    <w:rsid w:val="00617086"/>
    <w:rsid w:val="00621DFC"/>
    <w:rsid w:val="006222D4"/>
    <w:rsid w:val="006225B3"/>
    <w:rsid w:val="00622D70"/>
    <w:rsid w:val="00623DB7"/>
    <w:rsid w:val="006242A0"/>
    <w:rsid w:val="00624405"/>
    <w:rsid w:val="00624681"/>
    <w:rsid w:val="0062481B"/>
    <w:rsid w:val="00625DE8"/>
    <w:rsid w:val="00625EAB"/>
    <w:rsid w:val="006303CD"/>
    <w:rsid w:val="006307B4"/>
    <w:rsid w:val="00632CA1"/>
    <w:rsid w:val="00633326"/>
    <w:rsid w:val="0063362C"/>
    <w:rsid w:val="0063492F"/>
    <w:rsid w:val="006354AD"/>
    <w:rsid w:val="00637C4F"/>
    <w:rsid w:val="006411F8"/>
    <w:rsid w:val="006428B3"/>
    <w:rsid w:val="00642BB8"/>
    <w:rsid w:val="00643365"/>
    <w:rsid w:val="00643DBC"/>
    <w:rsid w:val="00646318"/>
    <w:rsid w:val="0064695C"/>
    <w:rsid w:val="00650904"/>
    <w:rsid w:val="00650F84"/>
    <w:rsid w:val="006511DB"/>
    <w:rsid w:val="00651A59"/>
    <w:rsid w:val="00653BBD"/>
    <w:rsid w:val="006540AA"/>
    <w:rsid w:val="0065534A"/>
    <w:rsid w:val="00655374"/>
    <w:rsid w:val="00655B0B"/>
    <w:rsid w:val="00655D89"/>
    <w:rsid w:val="00656228"/>
    <w:rsid w:val="006568AD"/>
    <w:rsid w:val="006609FD"/>
    <w:rsid w:val="00661995"/>
    <w:rsid w:val="00663749"/>
    <w:rsid w:val="00664D7A"/>
    <w:rsid w:val="006653B1"/>
    <w:rsid w:val="006653C1"/>
    <w:rsid w:val="00666772"/>
    <w:rsid w:val="00666908"/>
    <w:rsid w:val="0067130F"/>
    <w:rsid w:val="00673653"/>
    <w:rsid w:val="00674349"/>
    <w:rsid w:val="00675342"/>
    <w:rsid w:val="00677E96"/>
    <w:rsid w:val="0068008E"/>
    <w:rsid w:val="00680F31"/>
    <w:rsid w:val="00681689"/>
    <w:rsid w:val="0068250A"/>
    <w:rsid w:val="00682BC6"/>
    <w:rsid w:val="00682F38"/>
    <w:rsid w:val="00683251"/>
    <w:rsid w:val="00683412"/>
    <w:rsid w:val="00685BF7"/>
    <w:rsid w:val="00687F7F"/>
    <w:rsid w:val="0069006B"/>
    <w:rsid w:val="00691536"/>
    <w:rsid w:val="0069285B"/>
    <w:rsid w:val="00692CE5"/>
    <w:rsid w:val="00692FE6"/>
    <w:rsid w:val="00693F25"/>
    <w:rsid w:val="00693FF1"/>
    <w:rsid w:val="00695275"/>
    <w:rsid w:val="00695287"/>
    <w:rsid w:val="006953CC"/>
    <w:rsid w:val="00696EC5"/>
    <w:rsid w:val="006A146D"/>
    <w:rsid w:val="006A1844"/>
    <w:rsid w:val="006A1A4B"/>
    <w:rsid w:val="006A1C15"/>
    <w:rsid w:val="006A1FD8"/>
    <w:rsid w:val="006A286D"/>
    <w:rsid w:val="006A2DD7"/>
    <w:rsid w:val="006A2F3E"/>
    <w:rsid w:val="006A3243"/>
    <w:rsid w:val="006A3244"/>
    <w:rsid w:val="006A6642"/>
    <w:rsid w:val="006A6935"/>
    <w:rsid w:val="006A786B"/>
    <w:rsid w:val="006B03A6"/>
    <w:rsid w:val="006B374C"/>
    <w:rsid w:val="006B45CD"/>
    <w:rsid w:val="006B52B8"/>
    <w:rsid w:val="006B53A7"/>
    <w:rsid w:val="006B5DD2"/>
    <w:rsid w:val="006B7BA8"/>
    <w:rsid w:val="006B7F7E"/>
    <w:rsid w:val="006C0990"/>
    <w:rsid w:val="006C1017"/>
    <w:rsid w:val="006C2591"/>
    <w:rsid w:val="006C2E4F"/>
    <w:rsid w:val="006C4087"/>
    <w:rsid w:val="006C66B0"/>
    <w:rsid w:val="006C6ACC"/>
    <w:rsid w:val="006C7F6F"/>
    <w:rsid w:val="006D04D2"/>
    <w:rsid w:val="006D0658"/>
    <w:rsid w:val="006D083F"/>
    <w:rsid w:val="006D0B56"/>
    <w:rsid w:val="006D1F26"/>
    <w:rsid w:val="006D28B2"/>
    <w:rsid w:val="006D4BE5"/>
    <w:rsid w:val="006D54F6"/>
    <w:rsid w:val="006D6052"/>
    <w:rsid w:val="006D7240"/>
    <w:rsid w:val="006E0D82"/>
    <w:rsid w:val="006E131D"/>
    <w:rsid w:val="006E2BDA"/>
    <w:rsid w:val="006E30E3"/>
    <w:rsid w:val="006E4D8E"/>
    <w:rsid w:val="006E4E7F"/>
    <w:rsid w:val="006E5201"/>
    <w:rsid w:val="006E6A17"/>
    <w:rsid w:val="006F0DD3"/>
    <w:rsid w:val="006F1DD4"/>
    <w:rsid w:val="006F1F8B"/>
    <w:rsid w:val="006F33EC"/>
    <w:rsid w:val="006F3908"/>
    <w:rsid w:val="006F3F33"/>
    <w:rsid w:val="006F47F0"/>
    <w:rsid w:val="006F4AD8"/>
    <w:rsid w:val="006F77A6"/>
    <w:rsid w:val="0070039B"/>
    <w:rsid w:val="00700AFF"/>
    <w:rsid w:val="0070241E"/>
    <w:rsid w:val="00703204"/>
    <w:rsid w:val="007034D0"/>
    <w:rsid w:val="007043F0"/>
    <w:rsid w:val="00705256"/>
    <w:rsid w:val="007053D4"/>
    <w:rsid w:val="00706709"/>
    <w:rsid w:val="00706F36"/>
    <w:rsid w:val="007102CC"/>
    <w:rsid w:val="007143B6"/>
    <w:rsid w:val="00714E3A"/>
    <w:rsid w:val="0071585E"/>
    <w:rsid w:val="00717978"/>
    <w:rsid w:val="00717B7D"/>
    <w:rsid w:val="00720264"/>
    <w:rsid w:val="007210B8"/>
    <w:rsid w:val="007210D3"/>
    <w:rsid w:val="0072235B"/>
    <w:rsid w:val="00722956"/>
    <w:rsid w:val="0072487A"/>
    <w:rsid w:val="00727A26"/>
    <w:rsid w:val="007316B1"/>
    <w:rsid w:val="007325E5"/>
    <w:rsid w:val="007335B8"/>
    <w:rsid w:val="007353BD"/>
    <w:rsid w:val="007366E6"/>
    <w:rsid w:val="0073675C"/>
    <w:rsid w:val="00736D67"/>
    <w:rsid w:val="00743EE1"/>
    <w:rsid w:val="0074413B"/>
    <w:rsid w:val="0074712F"/>
    <w:rsid w:val="0074792D"/>
    <w:rsid w:val="0075119C"/>
    <w:rsid w:val="007514ED"/>
    <w:rsid w:val="00751A48"/>
    <w:rsid w:val="00752607"/>
    <w:rsid w:val="007527B1"/>
    <w:rsid w:val="0075342B"/>
    <w:rsid w:val="007550D6"/>
    <w:rsid w:val="007551DB"/>
    <w:rsid w:val="00756844"/>
    <w:rsid w:val="00756DC3"/>
    <w:rsid w:val="00756E19"/>
    <w:rsid w:val="00757153"/>
    <w:rsid w:val="00757A56"/>
    <w:rsid w:val="00757AC8"/>
    <w:rsid w:val="00757B18"/>
    <w:rsid w:val="00757D9F"/>
    <w:rsid w:val="00761686"/>
    <w:rsid w:val="007617CD"/>
    <w:rsid w:val="0076235A"/>
    <w:rsid w:val="007631E7"/>
    <w:rsid w:val="007642EF"/>
    <w:rsid w:val="00766798"/>
    <w:rsid w:val="007671AB"/>
    <w:rsid w:val="00767417"/>
    <w:rsid w:val="00767B87"/>
    <w:rsid w:val="00770AF8"/>
    <w:rsid w:val="00770EBB"/>
    <w:rsid w:val="0077161A"/>
    <w:rsid w:val="00771B07"/>
    <w:rsid w:val="00773FCC"/>
    <w:rsid w:val="00774DDF"/>
    <w:rsid w:val="007751F8"/>
    <w:rsid w:val="0077555E"/>
    <w:rsid w:val="00775A35"/>
    <w:rsid w:val="00775EBC"/>
    <w:rsid w:val="0077639E"/>
    <w:rsid w:val="0077748A"/>
    <w:rsid w:val="007817E9"/>
    <w:rsid w:val="0078254E"/>
    <w:rsid w:val="0078268E"/>
    <w:rsid w:val="00783B58"/>
    <w:rsid w:val="00784725"/>
    <w:rsid w:val="00784B7A"/>
    <w:rsid w:val="00785930"/>
    <w:rsid w:val="007874B6"/>
    <w:rsid w:val="00787DB5"/>
    <w:rsid w:val="00790D7C"/>
    <w:rsid w:val="00790E3C"/>
    <w:rsid w:val="0079118D"/>
    <w:rsid w:val="00792CC9"/>
    <w:rsid w:val="00795153"/>
    <w:rsid w:val="00796D0F"/>
    <w:rsid w:val="007979F6"/>
    <w:rsid w:val="00797C63"/>
    <w:rsid w:val="007A0585"/>
    <w:rsid w:val="007A17F9"/>
    <w:rsid w:val="007A39ED"/>
    <w:rsid w:val="007A47DE"/>
    <w:rsid w:val="007A5CD9"/>
    <w:rsid w:val="007A7C91"/>
    <w:rsid w:val="007B06B7"/>
    <w:rsid w:val="007B078A"/>
    <w:rsid w:val="007B3D1E"/>
    <w:rsid w:val="007B4C66"/>
    <w:rsid w:val="007B6822"/>
    <w:rsid w:val="007C0CBE"/>
    <w:rsid w:val="007C1800"/>
    <w:rsid w:val="007C1F29"/>
    <w:rsid w:val="007C232D"/>
    <w:rsid w:val="007C2A94"/>
    <w:rsid w:val="007C3782"/>
    <w:rsid w:val="007C4059"/>
    <w:rsid w:val="007C41C4"/>
    <w:rsid w:val="007C4741"/>
    <w:rsid w:val="007C4D94"/>
    <w:rsid w:val="007C51EA"/>
    <w:rsid w:val="007C6207"/>
    <w:rsid w:val="007C7785"/>
    <w:rsid w:val="007D232A"/>
    <w:rsid w:val="007D253D"/>
    <w:rsid w:val="007D396E"/>
    <w:rsid w:val="007D44C2"/>
    <w:rsid w:val="007D5B29"/>
    <w:rsid w:val="007D6433"/>
    <w:rsid w:val="007D667D"/>
    <w:rsid w:val="007D6D15"/>
    <w:rsid w:val="007D7AAA"/>
    <w:rsid w:val="007E2913"/>
    <w:rsid w:val="007E4A1A"/>
    <w:rsid w:val="007E579D"/>
    <w:rsid w:val="007E5806"/>
    <w:rsid w:val="007E6671"/>
    <w:rsid w:val="007E67B3"/>
    <w:rsid w:val="007E6991"/>
    <w:rsid w:val="007E7BE0"/>
    <w:rsid w:val="007E7F1A"/>
    <w:rsid w:val="007F1652"/>
    <w:rsid w:val="007F2057"/>
    <w:rsid w:val="007F323D"/>
    <w:rsid w:val="007F3E72"/>
    <w:rsid w:val="007F402F"/>
    <w:rsid w:val="007F5121"/>
    <w:rsid w:val="007F51F0"/>
    <w:rsid w:val="007F55AD"/>
    <w:rsid w:val="00800184"/>
    <w:rsid w:val="0080366F"/>
    <w:rsid w:val="00806DDD"/>
    <w:rsid w:val="00807948"/>
    <w:rsid w:val="00807CD4"/>
    <w:rsid w:val="00811587"/>
    <w:rsid w:val="0081227A"/>
    <w:rsid w:val="00812748"/>
    <w:rsid w:val="00812C27"/>
    <w:rsid w:val="008137AA"/>
    <w:rsid w:val="00815223"/>
    <w:rsid w:val="008160BD"/>
    <w:rsid w:val="00822855"/>
    <w:rsid w:val="00822E43"/>
    <w:rsid w:val="008245CC"/>
    <w:rsid w:val="00825057"/>
    <w:rsid w:val="0082572B"/>
    <w:rsid w:val="00826BAB"/>
    <w:rsid w:val="00826EF7"/>
    <w:rsid w:val="00827C8D"/>
    <w:rsid w:val="00831892"/>
    <w:rsid w:val="0083334B"/>
    <w:rsid w:val="008340D9"/>
    <w:rsid w:val="00834775"/>
    <w:rsid w:val="00834B6F"/>
    <w:rsid w:val="00835311"/>
    <w:rsid w:val="008355C1"/>
    <w:rsid w:val="0084094F"/>
    <w:rsid w:val="00840E9D"/>
    <w:rsid w:val="0084115B"/>
    <w:rsid w:val="00841215"/>
    <w:rsid w:val="00842B97"/>
    <w:rsid w:val="00843761"/>
    <w:rsid w:val="008437A4"/>
    <w:rsid w:val="008437A5"/>
    <w:rsid w:val="00845FC8"/>
    <w:rsid w:val="00846C18"/>
    <w:rsid w:val="00846D42"/>
    <w:rsid w:val="00852A70"/>
    <w:rsid w:val="00854172"/>
    <w:rsid w:val="00856D50"/>
    <w:rsid w:val="00857094"/>
    <w:rsid w:val="00857F60"/>
    <w:rsid w:val="008603CD"/>
    <w:rsid w:val="00860969"/>
    <w:rsid w:val="008658CC"/>
    <w:rsid w:val="00866790"/>
    <w:rsid w:val="00866896"/>
    <w:rsid w:val="008679E7"/>
    <w:rsid w:val="00871284"/>
    <w:rsid w:val="00873715"/>
    <w:rsid w:val="008742A7"/>
    <w:rsid w:val="008760F4"/>
    <w:rsid w:val="00876FCE"/>
    <w:rsid w:val="00876FE5"/>
    <w:rsid w:val="008772C8"/>
    <w:rsid w:val="00877912"/>
    <w:rsid w:val="00877B2D"/>
    <w:rsid w:val="0088090E"/>
    <w:rsid w:val="0088193B"/>
    <w:rsid w:val="00886DDA"/>
    <w:rsid w:val="0088726A"/>
    <w:rsid w:val="008905B6"/>
    <w:rsid w:val="00893B74"/>
    <w:rsid w:val="00893B8A"/>
    <w:rsid w:val="00894481"/>
    <w:rsid w:val="008946FC"/>
    <w:rsid w:val="0089484E"/>
    <w:rsid w:val="00894C64"/>
    <w:rsid w:val="00895C88"/>
    <w:rsid w:val="008970DB"/>
    <w:rsid w:val="008A0414"/>
    <w:rsid w:val="008A0ACB"/>
    <w:rsid w:val="008A0F0D"/>
    <w:rsid w:val="008A1470"/>
    <w:rsid w:val="008A150A"/>
    <w:rsid w:val="008A220A"/>
    <w:rsid w:val="008A29CC"/>
    <w:rsid w:val="008A3FA2"/>
    <w:rsid w:val="008A5DEC"/>
    <w:rsid w:val="008A638B"/>
    <w:rsid w:val="008A7F50"/>
    <w:rsid w:val="008B0046"/>
    <w:rsid w:val="008B0144"/>
    <w:rsid w:val="008B0450"/>
    <w:rsid w:val="008B0C4B"/>
    <w:rsid w:val="008B0FDF"/>
    <w:rsid w:val="008B28B7"/>
    <w:rsid w:val="008B32C7"/>
    <w:rsid w:val="008B336F"/>
    <w:rsid w:val="008B4CA8"/>
    <w:rsid w:val="008B5CCF"/>
    <w:rsid w:val="008B6225"/>
    <w:rsid w:val="008B7675"/>
    <w:rsid w:val="008C17C8"/>
    <w:rsid w:val="008C2998"/>
    <w:rsid w:val="008C3100"/>
    <w:rsid w:val="008C5B17"/>
    <w:rsid w:val="008D0239"/>
    <w:rsid w:val="008D023A"/>
    <w:rsid w:val="008D0584"/>
    <w:rsid w:val="008D1807"/>
    <w:rsid w:val="008D34D5"/>
    <w:rsid w:val="008D356B"/>
    <w:rsid w:val="008D37FC"/>
    <w:rsid w:val="008D4377"/>
    <w:rsid w:val="008D57F5"/>
    <w:rsid w:val="008E1BA9"/>
    <w:rsid w:val="008E3500"/>
    <w:rsid w:val="008E4409"/>
    <w:rsid w:val="008E4EA1"/>
    <w:rsid w:val="008E6420"/>
    <w:rsid w:val="008E6C9F"/>
    <w:rsid w:val="008E6F09"/>
    <w:rsid w:val="008F0E3A"/>
    <w:rsid w:val="008F2CB7"/>
    <w:rsid w:val="008F35CA"/>
    <w:rsid w:val="008F56E0"/>
    <w:rsid w:val="00900ED1"/>
    <w:rsid w:val="00901763"/>
    <w:rsid w:val="00902144"/>
    <w:rsid w:val="00903797"/>
    <w:rsid w:val="00903E9F"/>
    <w:rsid w:val="009052C1"/>
    <w:rsid w:val="0090638C"/>
    <w:rsid w:val="009064B9"/>
    <w:rsid w:val="009068E2"/>
    <w:rsid w:val="009075BA"/>
    <w:rsid w:val="009135F2"/>
    <w:rsid w:val="00913978"/>
    <w:rsid w:val="00914992"/>
    <w:rsid w:val="0091596E"/>
    <w:rsid w:val="00916384"/>
    <w:rsid w:val="009177EC"/>
    <w:rsid w:val="00917D1B"/>
    <w:rsid w:val="00921747"/>
    <w:rsid w:val="00923F02"/>
    <w:rsid w:val="00924089"/>
    <w:rsid w:val="00924225"/>
    <w:rsid w:val="009256EB"/>
    <w:rsid w:val="009268CD"/>
    <w:rsid w:val="00930835"/>
    <w:rsid w:val="00930F56"/>
    <w:rsid w:val="009311A3"/>
    <w:rsid w:val="00931906"/>
    <w:rsid w:val="0093402F"/>
    <w:rsid w:val="009340A0"/>
    <w:rsid w:val="009340EA"/>
    <w:rsid w:val="00934C50"/>
    <w:rsid w:val="00940EAD"/>
    <w:rsid w:val="00944153"/>
    <w:rsid w:val="009452AE"/>
    <w:rsid w:val="00945D43"/>
    <w:rsid w:val="009464A9"/>
    <w:rsid w:val="00946952"/>
    <w:rsid w:val="009469BB"/>
    <w:rsid w:val="00946A39"/>
    <w:rsid w:val="009472E4"/>
    <w:rsid w:val="00950000"/>
    <w:rsid w:val="00951531"/>
    <w:rsid w:val="00951C18"/>
    <w:rsid w:val="00951CBA"/>
    <w:rsid w:val="00952F0B"/>
    <w:rsid w:val="00952F1B"/>
    <w:rsid w:val="00953B39"/>
    <w:rsid w:val="009562BB"/>
    <w:rsid w:val="0095677C"/>
    <w:rsid w:val="0095689D"/>
    <w:rsid w:val="00956D06"/>
    <w:rsid w:val="0096130C"/>
    <w:rsid w:val="00962276"/>
    <w:rsid w:val="00962D0D"/>
    <w:rsid w:val="0096515C"/>
    <w:rsid w:val="009651B7"/>
    <w:rsid w:val="00965F17"/>
    <w:rsid w:val="00966795"/>
    <w:rsid w:val="009702D0"/>
    <w:rsid w:val="00970DC9"/>
    <w:rsid w:val="009716C2"/>
    <w:rsid w:val="009734EF"/>
    <w:rsid w:val="009752C9"/>
    <w:rsid w:val="009759C4"/>
    <w:rsid w:val="009763A1"/>
    <w:rsid w:val="0097647D"/>
    <w:rsid w:val="009768F0"/>
    <w:rsid w:val="00980B50"/>
    <w:rsid w:val="00982335"/>
    <w:rsid w:val="009834D5"/>
    <w:rsid w:val="00984BC0"/>
    <w:rsid w:val="00985017"/>
    <w:rsid w:val="00986170"/>
    <w:rsid w:val="00986D56"/>
    <w:rsid w:val="00986DF2"/>
    <w:rsid w:val="00987F6E"/>
    <w:rsid w:val="00990927"/>
    <w:rsid w:val="0099254E"/>
    <w:rsid w:val="0099259F"/>
    <w:rsid w:val="009927E0"/>
    <w:rsid w:val="00994E64"/>
    <w:rsid w:val="009950F0"/>
    <w:rsid w:val="00995B81"/>
    <w:rsid w:val="009967AE"/>
    <w:rsid w:val="00996903"/>
    <w:rsid w:val="00996BF1"/>
    <w:rsid w:val="00996F2E"/>
    <w:rsid w:val="00997A0E"/>
    <w:rsid w:val="009A001D"/>
    <w:rsid w:val="009A089E"/>
    <w:rsid w:val="009A35A9"/>
    <w:rsid w:val="009A5AA1"/>
    <w:rsid w:val="009A7C65"/>
    <w:rsid w:val="009B039A"/>
    <w:rsid w:val="009B05D0"/>
    <w:rsid w:val="009B2643"/>
    <w:rsid w:val="009B3265"/>
    <w:rsid w:val="009B369B"/>
    <w:rsid w:val="009B5DFE"/>
    <w:rsid w:val="009B61B5"/>
    <w:rsid w:val="009B6334"/>
    <w:rsid w:val="009C164D"/>
    <w:rsid w:val="009C165A"/>
    <w:rsid w:val="009C1C89"/>
    <w:rsid w:val="009C3192"/>
    <w:rsid w:val="009C3B79"/>
    <w:rsid w:val="009C5ECA"/>
    <w:rsid w:val="009D07E2"/>
    <w:rsid w:val="009D26CF"/>
    <w:rsid w:val="009D638B"/>
    <w:rsid w:val="009D6AD7"/>
    <w:rsid w:val="009D7AD2"/>
    <w:rsid w:val="009E17BB"/>
    <w:rsid w:val="009E43B6"/>
    <w:rsid w:val="009E4CE6"/>
    <w:rsid w:val="009E506A"/>
    <w:rsid w:val="009E5C24"/>
    <w:rsid w:val="009E7720"/>
    <w:rsid w:val="009F0C72"/>
    <w:rsid w:val="009F1001"/>
    <w:rsid w:val="009F1A69"/>
    <w:rsid w:val="009F391C"/>
    <w:rsid w:val="009F51FB"/>
    <w:rsid w:val="009F548D"/>
    <w:rsid w:val="009F76DB"/>
    <w:rsid w:val="00A0002A"/>
    <w:rsid w:val="00A00770"/>
    <w:rsid w:val="00A011D5"/>
    <w:rsid w:val="00A01848"/>
    <w:rsid w:val="00A01E8C"/>
    <w:rsid w:val="00A0252C"/>
    <w:rsid w:val="00A027E4"/>
    <w:rsid w:val="00A03B7B"/>
    <w:rsid w:val="00A03E46"/>
    <w:rsid w:val="00A07CC7"/>
    <w:rsid w:val="00A104D1"/>
    <w:rsid w:val="00A11133"/>
    <w:rsid w:val="00A12432"/>
    <w:rsid w:val="00A12E64"/>
    <w:rsid w:val="00A14E61"/>
    <w:rsid w:val="00A151C6"/>
    <w:rsid w:val="00A17F11"/>
    <w:rsid w:val="00A21E18"/>
    <w:rsid w:val="00A22C8D"/>
    <w:rsid w:val="00A24778"/>
    <w:rsid w:val="00A24C1A"/>
    <w:rsid w:val="00A253C6"/>
    <w:rsid w:val="00A27012"/>
    <w:rsid w:val="00A27709"/>
    <w:rsid w:val="00A30608"/>
    <w:rsid w:val="00A32616"/>
    <w:rsid w:val="00A33773"/>
    <w:rsid w:val="00A343B2"/>
    <w:rsid w:val="00A347A3"/>
    <w:rsid w:val="00A356D6"/>
    <w:rsid w:val="00A35822"/>
    <w:rsid w:val="00A36B1F"/>
    <w:rsid w:val="00A3719D"/>
    <w:rsid w:val="00A407F5"/>
    <w:rsid w:val="00A40D90"/>
    <w:rsid w:val="00A439A0"/>
    <w:rsid w:val="00A43CD4"/>
    <w:rsid w:val="00A43F3F"/>
    <w:rsid w:val="00A45C9B"/>
    <w:rsid w:val="00A51158"/>
    <w:rsid w:val="00A513E0"/>
    <w:rsid w:val="00A5236D"/>
    <w:rsid w:val="00A539EB"/>
    <w:rsid w:val="00A54595"/>
    <w:rsid w:val="00A55068"/>
    <w:rsid w:val="00A55441"/>
    <w:rsid w:val="00A5760E"/>
    <w:rsid w:val="00A57826"/>
    <w:rsid w:val="00A603CD"/>
    <w:rsid w:val="00A626B5"/>
    <w:rsid w:val="00A63AC3"/>
    <w:rsid w:val="00A64193"/>
    <w:rsid w:val="00A642AC"/>
    <w:rsid w:val="00A64701"/>
    <w:rsid w:val="00A649D1"/>
    <w:rsid w:val="00A65486"/>
    <w:rsid w:val="00A65ED2"/>
    <w:rsid w:val="00A65FAA"/>
    <w:rsid w:val="00A66A4B"/>
    <w:rsid w:val="00A66D42"/>
    <w:rsid w:val="00A70A23"/>
    <w:rsid w:val="00A710F0"/>
    <w:rsid w:val="00A71311"/>
    <w:rsid w:val="00A72653"/>
    <w:rsid w:val="00A73601"/>
    <w:rsid w:val="00A743DD"/>
    <w:rsid w:val="00A7475C"/>
    <w:rsid w:val="00A755B3"/>
    <w:rsid w:val="00A77601"/>
    <w:rsid w:val="00A803FD"/>
    <w:rsid w:val="00A80687"/>
    <w:rsid w:val="00A81048"/>
    <w:rsid w:val="00A81420"/>
    <w:rsid w:val="00A818C1"/>
    <w:rsid w:val="00A81CC3"/>
    <w:rsid w:val="00A82262"/>
    <w:rsid w:val="00A8259D"/>
    <w:rsid w:val="00A85E8D"/>
    <w:rsid w:val="00A8656E"/>
    <w:rsid w:val="00A86C7D"/>
    <w:rsid w:val="00A871D6"/>
    <w:rsid w:val="00A8759A"/>
    <w:rsid w:val="00A8764B"/>
    <w:rsid w:val="00A87ED1"/>
    <w:rsid w:val="00A9042C"/>
    <w:rsid w:val="00A9063D"/>
    <w:rsid w:val="00A92A88"/>
    <w:rsid w:val="00A932BF"/>
    <w:rsid w:val="00A93EF2"/>
    <w:rsid w:val="00A960C4"/>
    <w:rsid w:val="00A960FA"/>
    <w:rsid w:val="00A97CA6"/>
    <w:rsid w:val="00AA0F94"/>
    <w:rsid w:val="00AA0FDF"/>
    <w:rsid w:val="00AA14BE"/>
    <w:rsid w:val="00AA1E9E"/>
    <w:rsid w:val="00AA22E1"/>
    <w:rsid w:val="00AA2AA0"/>
    <w:rsid w:val="00AA2E3D"/>
    <w:rsid w:val="00AA3C47"/>
    <w:rsid w:val="00AA4BD8"/>
    <w:rsid w:val="00AA5C67"/>
    <w:rsid w:val="00AA6A84"/>
    <w:rsid w:val="00AB02E7"/>
    <w:rsid w:val="00AB3845"/>
    <w:rsid w:val="00AB47C7"/>
    <w:rsid w:val="00AB78AC"/>
    <w:rsid w:val="00AB7D48"/>
    <w:rsid w:val="00AB7E08"/>
    <w:rsid w:val="00AC04DD"/>
    <w:rsid w:val="00AC0E22"/>
    <w:rsid w:val="00AC205B"/>
    <w:rsid w:val="00AC2351"/>
    <w:rsid w:val="00AC3F08"/>
    <w:rsid w:val="00AC4DFE"/>
    <w:rsid w:val="00AC5199"/>
    <w:rsid w:val="00AC6958"/>
    <w:rsid w:val="00AC6FBF"/>
    <w:rsid w:val="00AC749F"/>
    <w:rsid w:val="00AC7E69"/>
    <w:rsid w:val="00AD0F58"/>
    <w:rsid w:val="00AD1187"/>
    <w:rsid w:val="00AD4DCA"/>
    <w:rsid w:val="00AD57CB"/>
    <w:rsid w:val="00AD6193"/>
    <w:rsid w:val="00AD6FF4"/>
    <w:rsid w:val="00AD782A"/>
    <w:rsid w:val="00AD7851"/>
    <w:rsid w:val="00AD7C32"/>
    <w:rsid w:val="00AE01DC"/>
    <w:rsid w:val="00AE0AA5"/>
    <w:rsid w:val="00AE3E6C"/>
    <w:rsid w:val="00AE5AF7"/>
    <w:rsid w:val="00AE6B17"/>
    <w:rsid w:val="00AE6F1B"/>
    <w:rsid w:val="00AE7F97"/>
    <w:rsid w:val="00AF0A72"/>
    <w:rsid w:val="00AF0B8B"/>
    <w:rsid w:val="00AF1814"/>
    <w:rsid w:val="00AF1B03"/>
    <w:rsid w:val="00AF2498"/>
    <w:rsid w:val="00AF24BE"/>
    <w:rsid w:val="00AF2FA1"/>
    <w:rsid w:val="00AF4AB7"/>
    <w:rsid w:val="00B0109A"/>
    <w:rsid w:val="00B014A5"/>
    <w:rsid w:val="00B01C97"/>
    <w:rsid w:val="00B01FF7"/>
    <w:rsid w:val="00B03D6C"/>
    <w:rsid w:val="00B03EE8"/>
    <w:rsid w:val="00B0478F"/>
    <w:rsid w:val="00B05BC7"/>
    <w:rsid w:val="00B1119F"/>
    <w:rsid w:val="00B11946"/>
    <w:rsid w:val="00B12155"/>
    <w:rsid w:val="00B15101"/>
    <w:rsid w:val="00B15789"/>
    <w:rsid w:val="00B24F6A"/>
    <w:rsid w:val="00B26F63"/>
    <w:rsid w:val="00B27CE5"/>
    <w:rsid w:val="00B3156C"/>
    <w:rsid w:val="00B328AA"/>
    <w:rsid w:val="00B32B4A"/>
    <w:rsid w:val="00B34424"/>
    <w:rsid w:val="00B375A7"/>
    <w:rsid w:val="00B37930"/>
    <w:rsid w:val="00B37EA7"/>
    <w:rsid w:val="00B4130F"/>
    <w:rsid w:val="00B44772"/>
    <w:rsid w:val="00B45721"/>
    <w:rsid w:val="00B4587E"/>
    <w:rsid w:val="00B47930"/>
    <w:rsid w:val="00B509B1"/>
    <w:rsid w:val="00B50F93"/>
    <w:rsid w:val="00B535D1"/>
    <w:rsid w:val="00B55ACB"/>
    <w:rsid w:val="00B566FC"/>
    <w:rsid w:val="00B56D37"/>
    <w:rsid w:val="00B573FA"/>
    <w:rsid w:val="00B57670"/>
    <w:rsid w:val="00B61178"/>
    <w:rsid w:val="00B61DE1"/>
    <w:rsid w:val="00B6201D"/>
    <w:rsid w:val="00B62140"/>
    <w:rsid w:val="00B65FCE"/>
    <w:rsid w:val="00B65FFB"/>
    <w:rsid w:val="00B671ED"/>
    <w:rsid w:val="00B6720E"/>
    <w:rsid w:val="00B71269"/>
    <w:rsid w:val="00B71A69"/>
    <w:rsid w:val="00B74028"/>
    <w:rsid w:val="00B74051"/>
    <w:rsid w:val="00B7432F"/>
    <w:rsid w:val="00B7433E"/>
    <w:rsid w:val="00B7469D"/>
    <w:rsid w:val="00B74D02"/>
    <w:rsid w:val="00B8010A"/>
    <w:rsid w:val="00B803E9"/>
    <w:rsid w:val="00B82898"/>
    <w:rsid w:val="00B82C72"/>
    <w:rsid w:val="00B844AC"/>
    <w:rsid w:val="00B873B9"/>
    <w:rsid w:val="00B90E33"/>
    <w:rsid w:val="00B93A42"/>
    <w:rsid w:val="00B9411E"/>
    <w:rsid w:val="00B94403"/>
    <w:rsid w:val="00B94C2F"/>
    <w:rsid w:val="00B959E9"/>
    <w:rsid w:val="00B95E7F"/>
    <w:rsid w:val="00B96B1A"/>
    <w:rsid w:val="00BA215D"/>
    <w:rsid w:val="00BA2574"/>
    <w:rsid w:val="00BA4B8B"/>
    <w:rsid w:val="00BA63D3"/>
    <w:rsid w:val="00BA681F"/>
    <w:rsid w:val="00BA7366"/>
    <w:rsid w:val="00BA7CD5"/>
    <w:rsid w:val="00BB11CE"/>
    <w:rsid w:val="00BB3922"/>
    <w:rsid w:val="00BB5A35"/>
    <w:rsid w:val="00BC04CA"/>
    <w:rsid w:val="00BC0EBA"/>
    <w:rsid w:val="00BC1541"/>
    <w:rsid w:val="00BC2D4B"/>
    <w:rsid w:val="00BC37C6"/>
    <w:rsid w:val="00BC3EEA"/>
    <w:rsid w:val="00BC4148"/>
    <w:rsid w:val="00BC43D6"/>
    <w:rsid w:val="00BC5774"/>
    <w:rsid w:val="00BC58B8"/>
    <w:rsid w:val="00BC58E8"/>
    <w:rsid w:val="00BC5928"/>
    <w:rsid w:val="00BC594B"/>
    <w:rsid w:val="00BD05F3"/>
    <w:rsid w:val="00BD0718"/>
    <w:rsid w:val="00BD118E"/>
    <w:rsid w:val="00BD1863"/>
    <w:rsid w:val="00BD30AF"/>
    <w:rsid w:val="00BD350C"/>
    <w:rsid w:val="00BD3BFC"/>
    <w:rsid w:val="00BD4A26"/>
    <w:rsid w:val="00BD4A67"/>
    <w:rsid w:val="00BD4EE2"/>
    <w:rsid w:val="00BD5324"/>
    <w:rsid w:val="00BD6991"/>
    <w:rsid w:val="00BD7436"/>
    <w:rsid w:val="00BD7EFF"/>
    <w:rsid w:val="00BE1000"/>
    <w:rsid w:val="00BE24F2"/>
    <w:rsid w:val="00BE3998"/>
    <w:rsid w:val="00BE457D"/>
    <w:rsid w:val="00BE4F0C"/>
    <w:rsid w:val="00BE6701"/>
    <w:rsid w:val="00BE7DCD"/>
    <w:rsid w:val="00BE7E59"/>
    <w:rsid w:val="00BF003A"/>
    <w:rsid w:val="00BF17C6"/>
    <w:rsid w:val="00BF39C8"/>
    <w:rsid w:val="00BF4C8A"/>
    <w:rsid w:val="00BF56A6"/>
    <w:rsid w:val="00BF5A13"/>
    <w:rsid w:val="00BF69CA"/>
    <w:rsid w:val="00BF6D46"/>
    <w:rsid w:val="00BF729B"/>
    <w:rsid w:val="00BF7CB5"/>
    <w:rsid w:val="00C01407"/>
    <w:rsid w:val="00C01ADE"/>
    <w:rsid w:val="00C01FD7"/>
    <w:rsid w:val="00C02252"/>
    <w:rsid w:val="00C022CE"/>
    <w:rsid w:val="00C04188"/>
    <w:rsid w:val="00C04473"/>
    <w:rsid w:val="00C047F8"/>
    <w:rsid w:val="00C06632"/>
    <w:rsid w:val="00C07E4A"/>
    <w:rsid w:val="00C10836"/>
    <w:rsid w:val="00C10E59"/>
    <w:rsid w:val="00C11D74"/>
    <w:rsid w:val="00C12485"/>
    <w:rsid w:val="00C137B6"/>
    <w:rsid w:val="00C14BB7"/>
    <w:rsid w:val="00C1518F"/>
    <w:rsid w:val="00C151FC"/>
    <w:rsid w:val="00C17610"/>
    <w:rsid w:val="00C223B8"/>
    <w:rsid w:val="00C235BC"/>
    <w:rsid w:val="00C26404"/>
    <w:rsid w:val="00C31101"/>
    <w:rsid w:val="00C32D3A"/>
    <w:rsid w:val="00C35B7D"/>
    <w:rsid w:val="00C35CCD"/>
    <w:rsid w:val="00C36C25"/>
    <w:rsid w:val="00C41DD5"/>
    <w:rsid w:val="00C444EB"/>
    <w:rsid w:val="00C44978"/>
    <w:rsid w:val="00C454E9"/>
    <w:rsid w:val="00C45945"/>
    <w:rsid w:val="00C45A3B"/>
    <w:rsid w:val="00C46393"/>
    <w:rsid w:val="00C46619"/>
    <w:rsid w:val="00C47E96"/>
    <w:rsid w:val="00C5098E"/>
    <w:rsid w:val="00C51BA3"/>
    <w:rsid w:val="00C52F4C"/>
    <w:rsid w:val="00C53126"/>
    <w:rsid w:val="00C538B4"/>
    <w:rsid w:val="00C555C9"/>
    <w:rsid w:val="00C6084B"/>
    <w:rsid w:val="00C61EA6"/>
    <w:rsid w:val="00C6644A"/>
    <w:rsid w:val="00C67C98"/>
    <w:rsid w:val="00C67DF6"/>
    <w:rsid w:val="00C70C9C"/>
    <w:rsid w:val="00C71EF4"/>
    <w:rsid w:val="00C725C8"/>
    <w:rsid w:val="00C72923"/>
    <w:rsid w:val="00C74E81"/>
    <w:rsid w:val="00C767A0"/>
    <w:rsid w:val="00C82735"/>
    <w:rsid w:val="00C83A29"/>
    <w:rsid w:val="00C83AAF"/>
    <w:rsid w:val="00C843B9"/>
    <w:rsid w:val="00C849AC"/>
    <w:rsid w:val="00C85CF8"/>
    <w:rsid w:val="00C85DE0"/>
    <w:rsid w:val="00C85E04"/>
    <w:rsid w:val="00C873D0"/>
    <w:rsid w:val="00C913F0"/>
    <w:rsid w:val="00C95E33"/>
    <w:rsid w:val="00C962C1"/>
    <w:rsid w:val="00C962E5"/>
    <w:rsid w:val="00C96322"/>
    <w:rsid w:val="00C966E1"/>
    <w:rsid w:val="00CA01BE"/>
    <w:rsid w:val="00CA17F4"/>
    <w:rsid w:val="00CA1999"/>
    <w:rsid w:val="00CA342A"/>
    <w:rsid w:val="00CA5848"/>
    <w:rsid w:val="00CA5F90"/>
    <w:rsid w:val="00CA5FCA"/>
    <w:rsid w:val="00CB002A"/>
    <w:rsid w:val="00CB0912"/>
    <w:rsid w:val="00CB0EF9"/>
    <w:rsid w:val="00CB17EC"/>
    <w:rsid w:val="00CB1C06"/>
    <w:rsid w:val="00CB22E3"/>
    <w:rsid w:val="00CB289D"/>
    <w:rsid w:val="00CB34A8"/>
    <w:rsid w:val="00CB5A66"/>
    <w:rsid w:val="00CB62C0"/>
    <w:rsid w:val="00CC297D"/>
    <w:rsid w:val="00CC4E82"/>
    <w:rsid w:val="00CC5AD1"/>
    <w:rsid w:val="00CC5E2E"/>
    <w:rsid w:val="00CC6115"/>
    <w:rsid w:val="00CD07E2"/>
    <w:rsid w:val="00CD292F"/>
    <w:rsid w:val="00CD3CBC"/>
    <w:rsid w:val="00CD4A6F"/>
    <w:rsid w:val="00CD5C4C"/>
    <w:rsid w:val="00CD6D73"/>
    <w:rsid w:val="00CD76CC"/>
    <w:rsid w:val="00CD7953"/>
    <w:rsid w:val="00CD799C"/>
    <w:rsid w:val="00CE0767"/>
    <w:rsid w:val="00CE2DDA"/>
    <w:rsid w:val="00CE2F71"/>
    <w:rsid w:val="00CE6ACC"/>
    <w:rsid w:val="00CE767D"/>
    <w:rsid w:val="00CE7ACA"/>
    <w:rsid w:val="00CE7AE5"/>
    <w:rsid w:val="00CF071B"/>
    <w:rsid w:val="00CF0CDA"/>
    <w:rsid w:val="00CF0ED7"/>
    <w:rsid w:val="00CF12EE"/>
    <w:rsid w:val="00CF17AC"/>
    <w:rsid w:val="00CF4716"/>
    <w:rsid w:val="00CF500B"/>
    <w:rsid w:val="00CF51C6"/>
    <w:rsid w:val="00CF64A2"/>
    <w:rsid w:val="00CF6CF4"/>
    <w:rsid w:val="00CF7EEE"/>
    <w:rsid w:val="00D00FCF"/>
    <w:rsid w:val="00D01611"/>
    <w:rsid w:val="00D04532"/>
    <w:rsid w:val="00D0471C"/>
    <w:rsid w:val="00D0480B"/>
    <w:rsid w:val="00D05B16"/>
    <w:rsid w:val="00D06876"/>
    <w:rsid w:val="00D16485"/>
    <w:rsid w:val="00D16B06"/>
    <w:rsid w:val="00D16DD9"/>
    <w:rsid w:val="00D17107"/>
    <w:rsid w:val="00D201E2"/>
    <w:rsid w:val="00D20746"/>
    <w:rsid w:val="00D2215A"/>
    <w:rsid w:val="00D22A7D"/>
    <w:rsid w:val="00D24953"/>
    <w:rsid w:val="00D2517D"/>
    <w:rsid w:val="00D27B6A"/>
    <w:rsid w:val="00D305FF"/>
    <w:rsid w:val="00D306AF"/>
    <w:rsid w:val="00D31515"/>
    <w:rsid w:val="00D315A9"/>
    <w:rsid w:val="00D33498"/>
    <w:rsid w:val="00D33D4E"/>
    <w:rsid w:val="00D34298"/>
    <w:rsid w:val="00D34351"/>
    <w:rsid w:val="00D34900"/>
    <w:rsid w:val="00D34EA2"/>
    <w:rsid w:val="00D3701F"/>
    <w:rsid w:val="00D37EFA"/>
    <w:rsid w:val="00D414F4"/>
    <w:rsid w:val="00D41F36"/>
    <w:rsid w:val="00D44C4A"/>
    <w:rsid w:val="00D4513B"/>
    <w:rsid w:val="00D50CD0"/>
    <w:rsid w:val="00D50D74"/>
    <w:rsid w:val="00D513A9"/>
    <w:rsid w:val="00D54A36"/>
    <w:rsid w:val="00D560D9"/>
    <w:rsid w:val="00D569E6"/>
    <w:rsid w:val="00D56D19"/>
    <w:rsid w:val="00D56E9E"/>
    <w:rsid w:val="00D57D1B"/>
    <w:rsid w:val="00D57F88"/>
    <w:rsid w:val="00D61494"/>
    <w:rsid w:val="00D61547"/>
    <w:rsid w:val="00D62621"/>
    <w:rsid w:val="00D62749"/>
    <w:rsid w:val="00D638F6"/>
    <w:rsid w:val="00D67ABD"/>
    <w:rsid w:val="00D70A87"/>
    <w:rsid w:val="00D72210"/>
    <w:rsid w:val="00D746C3"/>
    <w:rsid w:val="00D75B6D"/>
    <w:rsid w:val="00D812AB"/>
    <w:rsid w:val="00D82985"/>
    <w:rsid w:val="00D83851"/>
    <w:rsid w:val="00D8567C"/>
    <w:rsid w:val="00D85B60"/>
    <w:rsid w:val="00D904DC"/>
    <w:rsid w:val="00D909BB"/>
    <w:rsid w:val="00D90EC9"/>
    <w:rsid w:val="00D91342"/>
    <w:rsid w:val="00D9175D"/>
    <w:rsid w:val="00D9393F"/>
    <w:rsid w:val="00D94582"/>
    <w:rsid w:val="00D95767"/>
    <w:rsid w:val="00D96296"/>
    <w:rsid w:val="00D96B62"/>
    <w:rsid w:val="00DA01C9"/>
    <w:rsid w:val="00DA04EA"/>
    <w:rsid w:val="00DA28A0"/>
    <w:rsid w:val="00DA2C82"/>
    <w:rsid w:val="00DA6CC0"/>
    <w:rsid w:val="00DB2323"/>
    <w:rsid w:val="00DB411F"/>
    <w:rsid w:val="00DB43BA"/>
    <w:rsid w:val="00DB53DE"/>
    <w:rsid w:val="00DB6C65"/>
    <w:rsid w:val="00DB7B6B"/>
    <w:rsid w:val="00DC0FB3"/>
    <w:rsid w:val="00DC1617"/>
    <w:rsid w:val="00DC3BC0"/>
    <w:rsid w:val="00DC51D2"/>
    <w:rsid w:val="00DC5973"/>
    <w:rsid w:val="00DD3EFD"/>
    <w:rsid w:val="00DD6185"/>
    <w:rsid w:val="00DE0EFC"/>
    <w:rsid w:val="00DE0FD5"/>
    <w:rsid w:val="00DE12D6"/>
    <w:rsid w:val="00DE157C"/>
    <w:rsid w:val="00DE1DEC"/>
    <w:rsid w:val="00DE20B0"/>
    <w:rsid w:val="00DE31BE"/>
    <w:rsid w:val="00DE47A5"/>
    <w:rsid w:val="00DE53A0"/>
    <w:rsid w:val="00DE5E20"/>
    <w:rsid w:val="00DE6970"/>
    <w:rsid w:val="00DE72B0"/>
    <w:rsid w:val="00DE7E83"/>
    <w:rsid w:val="00DF095C"/>
    <w:rsid w:val="00DF1122"/>
    <w:rsid w:val="00DF2772"/>
    <w:rsid w:val="00DF3507"/>
    <w:rsid w:val="00DF3F91"/>
    <w:rsid w:val="00DF44BB"/>
    <w:rsid w:val="00DF509F"/>
    <w:rsid w:val="00DF547D"/>
    <w:rsid w:val="00DF55FF"/>
    <w:rsid w:val="00DF5998"/>
    <w:rsid w:val="00DF5F43"/>
    <w:rsid w:val="00E013E7"/>
    <w:rsid w:val="00E0210C"/>
    <w:rsid w:val="00E027EC"/>
    <w:rsid w:val="00E02FE9"/>
    <w:rsid w:val="00E0408C"/>
    <w:rsid w:val="00E059E6"/>
    <w:rsid w:val="00E05C3A"/>
    <w:rsid w:val="00E07BAB"/>
    <w:rsid w:val="00E10E64"/>
    <w:rsid w:val="00E12DAC"/>
    <w:rsid w:val="00E1326B"/>
    <w:rsid w:val="00E14C94"/>
    <w:rsid w:val="00E152E7"/>
    <w:rsid w:val="00E16F31"/>
    <w:rsid w:val="00E172C2"/>
    <w:rsid w:val="00E20704"/>
    <w:rsid w:val="00E209D9"/>
    <w:rsid w:val="00E21A3C"/>
    <w:rsid w:val="00E23D21"/>
    <w:rsid w:val="00E25189"/>
    <w:rsid w:val="00E25D46"/>
    <w:rsid w:val="00E263E3"/>
    <w:rsid w:val="00E26D62"/>
    <w:rsid w:val="00E34396"/>
    <w:rsid w:val="00E35051"/>
    <w:rsid w:val="00E36072"/>
    <w:rsid w:val="00E3608E"/>
    <w:rsid w:val="00E3645C"/>
    <w:rsid w:val="00E41B1B"/>
    <w:rsid w:val="00E42546"/>
    <w:rsid w:val="00E426DA"/>
    <w:rsid w:val="00E45FFB"/>
    <w:rsid w:val="00E465B7"/>
    <w:rsid w:val="00E46B40"/>
    <w:rsid w:val="00E505E1"/>
    <w:rsid w:val="00E523C3"/>
    <w:rsid w:val="00E5249D"/>
    <w:rsid w:val="00E52AB4"/>
    <w:rsid w:val="00E52CEE"/>
    <w:rsid w:val="00E53224"/>
    <w:rsid w:val="00E56B26"/>
    <w:rsid w:val="00E609DD"/>
    <w:rsid w:val="00E61137"/>
    <w:rsid w:val="00E62074"/>
    <w:rsid w:val="00E65E13"/>
    <w:rsid w:val="00E67361"/>
    <w:rsid w:val="00E70341"/>
    <w:rsid w:val="00E70F59"/>
    <w:rsid w:val="00E71583"/>
    <w:rsid w:val="00E73342"/>
    <w:rsid w:val="00E733D4"/>
    <w:rsid w:val="00E741E5"/>
    <w:rsid w:val="00E75602"/>
    <w:rsid w:val="00E75D0E"/>
    <w:rsid w:val="00E75FA1"/>
    <w:rsid w:val="00E76831"/>
    <w:rsid w:val="00E779B3"/>
    <w:rsid w:val="00E804AF"/>
    <w:rsid w:val="00E806F8"/>
    <w:rsid w:val="00E8275B"/>
    <w:rsid w:val="00E8330E"/>
    <w:rsid w:val="00E85115"/>
    <w:rsid w:val="00E857AF"/>
    <w:rsid w:val="00E861FC"/>
    <w:rsid w:val="00E87304"/>
    <w:rsid w:val="00E90237"/>
    <w:rsid w:val="00E90309"/>
    <w:rsid w:val="00E908ED"/>
    <w:rsid w:val="00E91015"/>
    <w:rsid w:val="00E914B6"/>
    <w:rsid w:val="00E91536"/>
    <w:rsid w:val="00E91B9E"/>
    <w:rsid w:val="00E91E52"/>
    <w:rsid w:val="00E93539"/>
    <w:rsid w:val="00E93EA3"/>
    <w:rsid w:val="00E94845"/>
    <w:rsid w:val="00EA476D"/>
    <w:rsid w:val="00EA4EE0"/>
    <w:rsid w:val="00EA5034"/>
    <w:rsid w:val="00EA53EF"/>
    <w:rsid w:val="00EA77F8"/>
    <w:rsid w:val="00EA7DBB"/>
    <w:rsid w:val="00EA7EDA"/>
    <w:rsid w:val="00EB043C"/>
    <w:rsid w:val="00EB148E"/>
    <w:rsid w:val="00EB1F00"/>
    <w:rsid w:val="00EB23FF"/>
    <w:rsid w:val="00EB458F"/>
    <w:rsid w:val="00EB50D8"/>
    <w:rsid w:val="00EB55EC"/>
    <w:rsid w:val="00EB5653"/>
    <w:rsid w:val="00EC07FB"/>
    <w:rsid w:val="00EC1799"/>
    <w:rsid w:val="00EC18E4"/>
    <w:rsid w:val="00EC29AA"/>
    <w:rsid w:val="00EC305A"/>
    <w:rsid w:val="00EC3FDE"/>
    <w:rsid w:val="00EC782F"/>
    <w:rsid w:val="00EC7DE0"/>
    <w:rsid w:val="00ED03D3"/>
    <w:rsid w:val="00ED08A3"/>
    <w:rsid w:val="00ED0933"/>
    <w:rsid w:val="00ED1634"/>
    <w:rsid w:val="00ED3157"/>
    <w:rsid w:val="00ED3F9B"/>
    <w:rsid w:val="00ED486B"/>
    <w:rsid w:val="00ED48D6"/>
    <w:rsid w:val="00ED48EB"/>
    <w:rsid w:val="00ED5023"/>
    <w:rsid w:val="00EE0068"/>
    <w:rsid w:val="00EE140B"/>
    <w:rsid w:val="00EE201B"/>
    <w:rsid w:val="00EE2E8F"/>
    <w:rsid w:val="00EE39B1"/>
    <w:rsid w:val="00EE3CB2"/>
    <w:rsid w:val="00EE4C83"/>
    <w:rsid w:val="00EE6340"/>
    <w:rsid w:val="00EF07AA"/>
    <w:rsid w:val="00EF11B5"/>
    <w:rsid w:val="00EF35C3"/>
    <w:rsid w:val="00EF5BAB"/>
    <w:rsid w:val="00EF6CD4"/>
    <w:rsid w:val="00EF7461"/>
    <w:rsid w:val="00F01D01"/>
    <w:rsid w:val="00F02433"/>
    <w:rsid w:val="00F031D0"/>
    <w:rsid w:val="00F04D60"/>
    <w:rsid w:val="00F05B05"/>
    <w:rsid w:val="00F05B2F"/>
    <w:rsid w:val="00F05B34"/>
    <w:rsid w:val="00F07907"/>
    <w:rsid w:val="00F107BD"/>
    <w:rsid w:val="00F109A0"/>
    <w:rsid w:val="00F1245A"/>
    <w:rsid w:val="00F14543"/>
    <w:rsid w:val="00F1632B"/>
    <w:rsid w:val="00F2049A"/>
    <w:rsid w:val="00F2109E"/>
    <w:rsid w:val="00F21736"/>
    <w:rsid w:val="00F2206C"/>
    <w:rsid w:val="00F2287B"/>
    <w:rsid w:val="00F236EC"/>
    <w:rsid w:val="00F23A59"/>
    <w:rsid w:val="00F269EE"/>
    <w:rsid w:val="00F279FC"/>
    <w:rsid w:val="00F33CF0"/>
    <w:rsid w:val="00F33EC5"/>
    <w:rsid w:val="00F34F7B"/>
    <w:rsid w:val="00F374CC"/>
    <w:rsid w:val="00F4052E"/>
    <w:rsid w:val="00F408E1"/>
    <w:rsid w:val="00F412E7"/>
    <w:rsid w:val="00F442D1"/>
    <w:rsid w:val="00F446C5"/>
    <w:rsid w:val="00F4544C"/>
    <w:rsid w:val="00F45A8A"/>
    <w:rsid w:val="00F46894"/>
    <w:rsid w:val="00F53404"/>
    <w:rsid w:val="00F53641"/>
    <w:rsid w:val="00F546EA"/>
    <w:rsid w:val="00F55CED"/>
    <w:rsid w:val="00F5691F"/>
    <w:rsid w:val="00F57310"/>
    <w:rsid w:val="00F5796F"/>
    <w:rsid w:val="00F607AA"/>
    <w:rsid w:val="00F60ED1"/>
    <w:rsid w:val="00F62303"/>
    <w:rsid w:val="00F65262"/>
    <w:rsid w:val="00F663BD"/>
    <w:rsid w:val="00F66412"/>
    <w:rsid w:val="00F66F39"/>
    <w:rsid w:val="00F67575"/>
    <w:rsid w:val="00F7130F"/>
    <w:rsid w:val="00F71890"/>
    <w:rsid w:val="00F74831"/>
    <w:rsid w:val="00F767BB"/>
    <w:rsid w:val="00F81073"/>
    <w:rsid w:val="00F81E17"/>
    <w:rsid w:val="00F825CC"/>
    <w:rsid w:val="00F829ED"/>
    <w:rsid w:val="00F84449"/>
    <w:rsid w:val="00F86881"/>
    <w:rsid w:val="00F86F6D"/>
    <w:rsid w:val="00F901DD"/>
    <w:rsid w:val="00F910E4"/>
    <w:rsid w:val="00F91A5C"/>
    <w:rsid w:val="00F92FE2"/>
    <w:rsid w:val="00F942F1"/>
    <w:rsid w:val="00F95D75"/>
    <w:rsid w:val="00F960EC"/>
    <w:rsid w:val="00FA16F9"/>
    <w:rsid w:val="00FA1839"/>
    <w:rsid w:val="00FA2710"/>
    <w:rsid w:val="00FA2B8B"/>
    <w:rsid w:val="00FA32FB"/>
    <w:rsid w:val="00FA39E5"/>
    <w:rsid w:val="00FA4287"/>
    <w:rsid w:val="00FA4BC5"/>
    <w:rsid w:val="00FA77F8"/>
    <w:rsid w:val="00FB077F"/>
    <w:rsid w:val="00FB2958"/>
    <w:rsid w:val="00FB4E9D"/>
    <w:rsid w:val="00FB658B"/>
    <w:rsid w:val="00FC0B10"/>
    <w:rsid w:val="00FC12E7"/>
    <w:rsid w:val="00FC235D"/>
    <w:rsid w:val="00FC2780"/>
    <w:rsid w:val="00FC44A0"/>
    <w:rsid w:val="00FC6ABA"/>
    <w:rsid w:val="00FD0836"/>
    <w:rsid w:val="00FD1AF7"/>
    <w:rsid w:val="00FD2003"/>
    <w:rsid w:val="00FD257A"/>
    <w:rsid w:val="00FD3EFD"/>
    <w:rsid w:val="00FD4876"/>
    <w:rsid w:val="00FD4EA8"/>
    <w:rsid w:val="00FD56E4"/>
    <w:rsid w:val="00FD5E77"/>
    <w:rsid w:val="00FD63C7"/>
    <w:rsid w:val="00FD6852"/>
    <w:rsid w:val="00FE201A"/>
    <w:rsid w:val="00FE20BF"/>
    <w:rsid w:val="00FE4600"/>
    <w:rsid w:val="00FE5935"/>
    <w:rsid w:val="00FE7984"/>
    <w:rsid w:val="00FE7E76"/>
    <w:rsid w:val="00FF0AF8"/>
    <w:rsid w:val="00FF1060"/>
    <w:rsid w:val="00FF1D3E"/>
    <w:rsid w:val="00FF25D5"/>
    <w:rsid w:val="00FF317A"/>
    <w:rsid w:val="00FF320E"/>
    <w:rsid w:val="00FF379D"/>
    <w:rsid w:val="00FF3D38"/>
    <w:rsid w:val="00FF408C"/>
    <w:rsid w:val="00FF4272"/>
    <w:rsid w:val="00FF6F2B"/>
    <w:rsid w:val="00FF7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8FE793"/>
  <w15:docId w15:val="{E0B42EDD-7ED0-4E12-B825-0D1ECCADA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161C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61C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unhideWhenUsed/>
    <w:rsid w:val="000161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161C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161CF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61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1CF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61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61CF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1C0C7D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C0C7D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VMCA_rodapé chamada,fr,Ref,de nota al pie,Nota de rodapé LRB,Style 16,sobrescrito,Footnote,(NECG) Footnote Reference,-E Fußnotenzeichen,o,FC,Style 3,Appel note de bas de p,Style 17,FR,Style 13,Style 12,Style 124,callout,Style 4"/>
    <w:basedOn w:val="DefaultParagraphFont"/>
    <w:uiPriority w:val="99"/>
    <w:unhideWhenUsed/>
    <w:qFormat/>
    <w:rsid w:val="001C0C7D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3E36A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36A0"/>
  </w:style>
  <w:style w:type="paragraph" w:styleId="Footer">
    <w:name w:val="footer"/>
    <w:basedOn w:val="Normal"/>
    <w:link w:val="FooterChar"/>
    <w:uiPriority w:val="99"/>
    <w:unhideWhenUsed/>
    <w:rsid w:val="003E36A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36A0"/>
  </w:style>
  <w:style w:type="character" w:styleId="Hyperlink">
    <w:name w:val="Hyperlink"/>
    <w:uiPriority w:val="99"/>
    <w:unhideWhenUsed/>
    <w:rsid w:val="000F3B7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50741"/>
    <w:rPr>
      <w:rFonts w:ascii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D1863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D1863"/>
    <w:rPr>
      <w:rFonts w:ascii="Consolas" w:hAnsi="Consolas"/>
      <w:sz w:val="20"/>
      <w:szCs w:val="20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E172C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5324B"/>
    <w:rPr>
      <w:color w:val="954F72" w:themeColor="followedHyperlink"/>
      <w:u w:val="single"/>
    </w:rPr>
  </w:style>
  <w:style w:type="character" w:customStyle="1" w:styleId="MenoPendente2">
    <w:name w:val="Menção Pendente2"/>
    <w:basedOn w:val="DefaultParagraphFont"/>
    <w:uiPriority w:val="99"/>
    <w:semiHidden/>
    <w:unhideWhenUsed/>
    <w:rsid w:val="0038540F"/>
    <w:rPr>
      <w:color w:val="605E5C"/>
      <w:shd w:val="clear" w:color="auto" w:fill="E1DFDD"/>
    </w:rPr>
  </w:style>
  <w:style w:type="character" w:customStyle="1" w:styleId="MenoPendente3">
    <w:name w:val="Menção Pendente3"/>
    <w:basedOn w:val="DefaultParagraphFont"/>
    <w:uiPriority w:val="99"/>
    <w:semiHidden/>
    <w:unhideWhenUsed/>
    <w:rsid w:val="00AC7E69"/>
    <w:rPr>
      <w:color w:val="605E5C"/>
      <w:shd w:val="clear" w:color="auto" w:fill="E1DFDD"/>
    </w:rPr>
  </w:style>
  <w:style w:type="character" w:customStyle="1" w:styleId="MenoPendente4">
    <w:name w:val="Menção Pendente4"/>
    <w:basedOn w:val="DefaultParagraphFont"/>
    <w:uiPriority w:val="99"/>
    <w:semiHidden/>
    <w:unhideWhenUsed/>
    <w:rsid w:val="003B48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10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9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32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221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72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mtaa.com.au/images/Fuel_Retailing_in_Australia.pdf" TargetMode="External"/><Relationship Id="rId1" Type="http://schemas.openxmlformats.org/officeDocument/2006/relationships/hyperlink" Target="http://www.oecd.org/competition/abuse/43040511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5DBF9C4A7120049AD1626FBC02C5EE5" ma:contentTypeVersion="10" ma:contentTypeDescription="Crie um novo documento." ma:contentTypeScope="" ma:versionID="063ef19e99d100d4ea4eafad5b29eac8">
  <xsd:schema xmlns:xsd="http://www.w3.org/2001/XMLSchema" xmlns:xs="http://www.w3.org/2001/XMLSchema" xmlns:p="http://schemas.microsoft.com/office/2006/metadata/properties" xmlns:ns2="faae2a72-a904-410e-a81a-7e4f155ee362" xmlns:ns3="4a51dabd-bb63-4850-a8be-3c9ae104ca08" targetNamespace="http://schemas.microsoft.com/office/2006/metadata/properties" ma:root="true" ma:fieldsID="b5377ead009c39f1b2d03f0035b9cc6b" ns2:_="" ns3:_="">
    <xsd:import namespace="faae2a72-a904-410e-a81a-7e4f155ee362"/>
    <xsd:import namespace="4a51dabd-bb63-4850-a8be-3c9ae104ca0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ae2a72-a904-410e-a81a-7e4f155ee36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lhado com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hes de Compartilhado Com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51dabd-bb63-4850-a8be-3c9ae104ca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17DE2E-CBCD-4DC0-9435-22A6D8F8EB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999120-7303-4A06-867A-15F655F80C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ae2a72-a904-410e-a81a-7e4f155ee362"/>
    <ds:schemaRef ds:uri="4a51dabd-bb63-4850-a8be-3c9ae104ca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3D0198-A44B-4F56-BCDD-6D926B191CC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F67B455-0BE5-4767-93AB-B28A943CD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2953</Words>
  <Characters>15951</Characters>
  <Application>Microsoft Office Word</Application>
  <DocSecurity>0</DocSecurity>
  <Lines>132</Lines>
  <Paragraphs>37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18867</CharactersWithSpaces>
  <SharedDoc>false</SharedDoc>
  <HLinks>
    <vt:vector size="144" baseType="variant">
      <vt:variant>
        <vt:i4>2818083</vt:i4>
      </vt:variant>
      <vt:variant>
        <vt:i4>12</vt:i4>
      </vt:variant>
      <vt:variant>
        <vt:i4>0</vt:i4>
      </vt:variant>
      <vt:variant>
        <vt:i4>5</vt:i4>
      </vt:variant>
      <vt:variant>
        <vt:lpwstr>https://www.oecd.org/competition/CompetitionInRoadFuel.pdf</vt:lpwstr>
      </vt:variant>
      <vt:variant>
        <vt:lpwstr/>
      </vt:variant>
      <vt:variant>
        <vt:i4>2097250</vt:i4>
      </vt:variant>
      <vt:variant>
        <vt:i4>9</vt:i4>
      </vt:variant>
      <vt:variant>
        <vt:i4>0</vt:i4>
      </vt:variant>
      <vt:variant>
        <vt:i4>5</vt:i4>
      </vt:variant>
      <vt:variant>
        <vt:lpwstr>http://www.oecd.org/competition/abuse/43040511.pdf</vt:lpwstr>
      </vt:variant>
      <vt:variant>
        <vt:lpwstr/>
      </vt:variant>
      <vt:variant>
        <vt:i4>8192054</vt:i4>
      </vt:variant>
      <vt:variant>
        <vt:i4>6</vt:i4>
      </vt:variant>
      <vt:variant>
        <vt:i4>0</vt:i4>
      </vt:variant>
      <vt:variant>
        <vt:i4>5</vt:i4>
      </vt:variant>
      <vt:variant>
        <vt:lpwstr>https://www.ftc.gov/sites/default/files/documents/reports/gasoline-price-changes-dynamic-supply-demand-and-competition-federal-trade-commission-report-2005/050705gaspricesrpt.pdf</vt:lpwstr>
      </vt:variant>
      <vt:variant>
        <vt:lpwstr/>
      </vt:variant>
      <vt:variant>
        <vt:i4>1769505</vt:i4>
      </vt:variant>
      <vt:variant>
        <vt:i4>3</vt:i4>
      </vt:variant>
      <vt:variant>
        <vt:i4>0</vt:i4>
      </vt:variant>
      <vt:variant>
        <vt:i4>5</vt:i4>
      </vt:variant>
      <vt:variant>
        <vt:lpwstr>http://www.cade.gov.br/acesso-a-informacao/publicacoes-institucionais/contribuicoes-do-cade/contribuicoes-do-cade_medidas-28maio2018-final.pdf</vt:lpwstr>
      </vt:variant>
      <vt:variant>
        <vt:lpwstr/>
      </vt:variant>
      <vt:variant>
        <vt:i4>65630</vt:i4>
      </vt:variant>
      <vt:variant>
        <vt:i4>0</vt:i4>
      </vt:variant>
      <vt:variant>
        <vt:i4>0</vt:i4>
      </vt:variant>
      <vt:variant>
        <vt:i4>5</vt:i4>
      </vt:variant>
      <vt:variant>
        <vt:lpwstr>https://bibliotecadigital.fgv.br/dspace/handle/10438/6895</vt:lpwstr>
      </vt:variant>
      <vt:variant>
        <vt:lpwstr/>
      </vt:variant>
      <vt:variant>
        <vt:i4>6029349</vt:i4>
      </vt:variant>
      <vt:variant>
        <vt:i4>54</vt:i4>
      </vt:variant>
      <vt:variant>
        <vt:i4>0</vt:i4>
      </vt:variant>
      <vt:variant>
        <vt:i4>5</vt:i4>
      </vt:variant>
      <vt:variant>
        <vt:lpwstr>http://www.anp.gov.br/images/Palestras/DecioOddone_19-04-2018-FGV.pdf</vt:lpwstr>
      </vt:variant>
      <vt:variant>
        <vt:lpwstr/>
      </vt:variant>
      <vt:variant>
        <vt:i4>7995499</vt:i4>
      </vt:variant>
      <vt:variant>
        <vt:i4>51</vt:i4>
      </vt:variant>
      <vt:variant>
        <vt:i4>0</vt:i4>
      </vt:variant>
      <vt:variant>
        <vt:i4>5</vt:i4>
      </vt:variant>
      <vt:variant>
        <vt:lpwstr>http://www.fecombustiveis.org.br/revendedor/tributacao/</vt:lpwstr>
      </vt:variant>
      <vt:variant>
        <vt:lpwstr/>
      </vt:variant>
      <vt:variant>
        <vt:i4>4063262</vt:i4>
      </vt:variant>
      <vt:variant>
        <vt:i4>48</vt:i4>
      </vt:variant>
      <vt:variant>
        <vt:i4>0</vt:i4>
      </vt:variant>
      <vt:variant>
        <vt:i4>5</vt:i4>
      </vt:variant>
      <vt:variant>
        <vt:lpwstr>https://www.eia.gov/energyexplained/index.php?page=gasoline_factors_affecting_prices</vt:lpwstr>
      </vt:variant>
      <vt:variant>
        <vt:lpwstr/>
      </vt:variant>
      <vt:variant>
        <vt:i4>2818083</vt:i4>
      </vt:variant>
      <vt:variant>
        <vt:i4>45</vt:i4>
      </vt:variant>
      <vt:variant>
        <vt:i4>0</vt:i4>
      </vt:variant>
      <vt:variant>
        <vt:i4>5</vt:i4>
      </vt:variant>
      <vt:variant>
        <vt:lpwstr>https://www.oecd.org/competition/CompetitionInRoadFuel.pdf</vt:lpwstr>
      </vt:variant>
      <vt:variant>
        <vt:lpwstr/>
      </vt:variant>
      <vt:variant>
        <vt:i4>2752609</vt:i4>
      </vt:variant>
      <vt:variant>
        <vt:i4>42</vt:i4>
      </vt:variant>
      <vt:variant>
        <vt:i4>0</vt:i4>
      </vt:variant>
      <vt:variant>
        <vt:i4>5</vt:i4>
      </vt:variant>
      <vt:variant>
        <vt:lpwstr>https://www.oecd.org/gov/regulatory-policy/Recommendation PR with cover.pdf</vt:lpwstr>
      </vt:variant>
      <vt:variant>
        <vt:lpwstr/>
      </vt:variant>
      <vt:variant>
        <vt:i4>7536680</vt:i4>
      </vt:variant>
      <vt:variant>
        <vt:i4>39</vt:i4>
      </vt:variant>
      <vt:variant>
        <vt:i4>0</vt:i4>
      </vt:variant>
      <vt:variant>
        <vt:i4>5</vt:i4>
      </vt:variant>
      <vt:variant>
        <vt:lpwstr>http://www.casacivil.gov.br/regulacao/apresentacao-regulacao-pasta/comite-interministerial-de-governanca-aprova-as-diretrizes-gerais-e-roteiro-analitico-sugerido-para-analise-de-impacto-regulatorio-diretrizes-air-e-o-guia-orientativo-para-elaboracao-de-analise-de-impacto-regulatorio-guia-air/diretrizes_guia_air_cig_11junho2018.pdf</vt:lpwstr>
      </vt:variant>
      <vt:variant>
        <vt:lpwstr/>
      </vt:variant>
      <vt:variant>
        <vt:i4>7602201</vt:i4>
      </vt:variant>
      <vt:variant>
        <vt:i4>36</vt:i4>
      </vt:variant>
      <vt:variant>
        <vt:i4>0</vt:i4>
      </vt:variant>
      <vt:variant>
        <vt:i4>5</vt:i4>
      </vt:variant>
      <vt:variant>
        <vt:lpwstr>https://www.mtaa.com.au/images/Fuel_Retailing_in_Australia.pdf</vt:lpwstr>
      </vt:variant>
      <vt:variant>
        <vt:lpwstr/>
      </vt:variant>
      <vt:variant>
        <vt:i4>2097250</vt:i4>
      </vt:variant>
      <vt:variant>
        <vt:i4>33</vt:i4>
      </vt:variant>
      <vt:variant>
        <vt:i4>0</vt:i4>
      </vt:variant>
      <vt:variant>
        <vt:i4>5</vt:i4>
      </vt:variant>
      <vt:variant>
        <vt:lpwstr>http://www.oecd.org/competition/abuse/43040511.pdf</vt:lpwstr>
      </vt:variant>
      <vt:variant>
        <vt:lpwstr/>
      </vt:variant>
      <vt:variant>
        <vt:i4>1769505</vt:i4>
      </vt:variant>
      <vt:variant>
        <vt:i4>30</vt:i4>
      </vt:variant>
      <vt:variant>
        <vt:i4>0</vt:i4>
      </vt:variant>
      <vt:variant>
        <vt:i4>5</vt:i4>
      </vt:variant>
      <vt:variant>
        <vt:lpwstr>http://www.cade.gov.br/acesso-a-informacao/publicacoes-institucionais/contribuicoes-do-cade/contribuicoes-do-cade_medidas-28maio2018-final.pdf</vt:lpwstr>
      </vt:variant>
      <vt:variant>
        <vt:lpwstr/>
      </vt:variant>
      <vt:variant>
        <vt:i4>2818083</vt:i4>
      </vt:variant>
      <vt:variant>
        <vt:i4>27</vt:i4>
      </vt:variant>
      <vt:variant>
        <vt:i4>0</vt:i4>
      </vt:variant>
      <vt:variant>
        <vt:i4>5</vt:i4>
      </vt:variant>
      <vt:variant>
        <vt:lpwstr>https://www.oecd.org/competition/CompetitionInRoadFuel.pdf</vt:lpwstr>
      </vt:variant>
      <vt:variant>
        <vt:lpwstr/>
      </vt:variant>
      <vt:variant>
        <vt:i4>8192054</vt:i4>
      </vt:variant>
      <vt:variant>
        <vt:i4>24</vt:i4>
      </vt:variant>
      <vt:variant>
        <vt:i4>0</vt:i4>
      </vt:variant>
      <vt:variant>
        <vt:i4>5</vt:i4>
      </vt:variant>
      <vt:variant>
        <vt:lpwstr>https://www.ftc.gov/sites/default/files/documents/reports/gasoline-price-changes-dynamic-supply-demand-and-competition-federal-trade-commission-report-2005/050705gaspricesrpt.pdf</vt:lpwstr>
      </vt:variant>
      <vt:variant>
        <vt:lpwstr/>
      </vt:variant>
      <vt:variant>
        <vt:i4>8192054</vt:i4>
      </vt:variant>
      <vt:variant>
        <vt:i4>21</vt:i4>
      </vt:variant>
      <vt:variant>
        <vt:i4>0</vt:i4>
      </vt:variant>
      <vt:variant>
        <vt:i4>5</vt:i4>
      </vt:variant>
      <vt:variant>
        <vt:lpwstr>https://www.ftc.gov/sites/default/files/documents/reports/gasoline-price-changes-dynamic-supply-demand-and-competition-federal-trade-commission-report-2005/050705gaspricesrpt.pdf</vt:lpwstr>
      </vt:variant>
      <vt:variant>
        <vt:lpwstr/>
      </vt:variant>
      <vt:variant>
        <vt:i4>2818083</vt:i4>
      </vt:variant>
      <vt:variant>
        <vt:i4>18</vt:i4>
      </vt:variant>
      <vt:variant>
        <vt:i4>0</vt:i4>
      </vt:variant>
      <vt:variant>
        <vt:i4>5</vt:i4>
      </vt:variant>
      <vt:variant>
        <vt:lpwstr>https://www.oecd.org/competition/CompetitionInRoadFuel.pdf</vt:lpwstr>
      </vt:variant>
      <vt:variant>
        <vt:lpwstr/>
      </vt:variant>
      <vt:variant>
        <vt:i4>1769505</vt:i4>
      </vt:variant>
      <vt:variant>
        <vt:i4>15</vt:i4>
      </vt:variant>
      <vt:variant>
        <vt:i4>0</vt:i4>
      </vt:variant>
      <vt:variant>
        <vt:i4>5</vt:i4>
      </vt:variant>
      <vt:variant>
        <vt:lpwstr>http://www.cade.gov.br/acesso-a-informacao/publicacoes-institucionais/contribuicoes-do-cade/contribuicoes-do-cade_medidas-28maio2018-final.pdf</vt:lpwstr>
      </vt:variant>
      <vt:variant>
        <vt:lpwstr/>
      </vt:variant>
      <vt:variant>
        <vt:i4>5636170</vt:i4>
      </vt:variant>
      <vt:variant>
        <vt:i4>12</vt:i4>
      </vt:variant>
      <vt:variant>
        <vt:i4>0</vt:i4>
      </vt:variant>
      <vt:variant>
        <vt:i4>5</vt:i4>
      </vt:variant>
      <vt:variant>
        <vt:lpwstr>http://www.mme.gov.br/web/guest/secretarias/petroleo-gas-natural-e-combustiveis-renovaveis/programas/combustivel-brasil/ct-cb</vt:lpwstr>
      </vt:variant>
      <vt:variant>
        <vt:lpwstr/>
      </vt:variant>
      <vt:variant>
        <vt:i4>2424958</vt:i4>
      </vt:variant>
      <vt:variant>
        <vt:i4>9</vt:i4>
      </vt:variant>
      <vt:variant>
        <vt:i4>0</vt:i4>
      </vt:variant>
      <vt:variant>
        <vt:i4>5</vt:i4>
      </vt:variant>
      <vt:variant>
        <vt:lpwstr>http://www.mme.gov.br/web/guest/consultas-publicas?p_p_id=consultapublicaexterna_WAR_consultapublicaportlet&amp;p_p_lifecycle=0&amp;p_p_state=normal&amp;p_p_mode=view&amp;p_p_col_id=column-1&amp;p_p_col_count=1&amp;_consultapublicaexterna_WAR_consultapublicaportlet_consultaId=29&amp;_consultapublicaexterna_WAR_consultapublicaportlet_mvcPath=/html/publico/dadosConsultaPublica.jsp</vt:lpwstr>
      </vt:variant>
      <vt:variant>
        <vt:lpwstr/>
      </vt:variant>
      <vt:variant>
        <vt:i4>5570574</vt:i4>
      </vt:variant>
      <vt:variant>
        <vt:i4>6</vt:i4>
      </vt:variant>
      <vt:variant>
        <vt:i4>0</vt:i4>
      </vt:variant>
      <vt:variant>
        <vt:i4>5</vt:i4>
      </vt:variant>
      <vt:variant>
        <vt:lpwstr>http://www.mme.gov.br/web/guest/secretarias/petroleo-gas-natural-e-combustiveis-renovaveis/programas/combustivel-brasil/principal</vt:lpwstr>
      </vt:variant>
      <vt:variant>
        <vt:lpwstr/>
      </vt:variant>
      <vt:variant>
        <vt:i4>8192038</vt:i4>
      </vt:variant>
      <vt:variant>
        <vt:i4>3</vt:i4>
      </vt:variant>
      <vt:variant>
        <vt:i4>0</vt:i4>
      </vt:variant>
      <vt:variant>
        <vt:i4>5</vt:i4>
      </vt:variant>
      <vt:variant>
        <vt:lpwstr>http://www.mme.gov.br/documents/10584/24442563/2017+05+10+Combustivel+Brasil+vFinal.pdf</vt:lpwstr>
      </vt:variant>
      <vt:variant>
        <vt:lpwstr/>
      </vt:variant>
      <vt:variant>
        <vt:i4>1769505</vt:i4>
      </vt:variant>
      <vt:variant>
        <vt:i4>0</vt:i4>
      </vt:variant>
      <vt:variant>
        <vt:i4>0</vt:i4>
      </vt:variant>
      <vt:variant>
        <vt:i4>5</vt:i4>
      </vt:variant>
      <vt:variant>
        <vt:lpwstr>http://www.cade.gov.br/acesso-a-informacao/publicacoes-institucionais/contribuicoes-do-cade/contribuicoes-do-cade_medidas-28maio2018-final.pdf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Emmanuel Joppert Ragazzo</dc:creator>
  <cp:keywords/>
  <dc:description/>
  <cp:lastModifiedBy>Rodrigues, Flavio O SBRASEP-GRA</cp:lastModifiedBy>
  <cp:revision>4</cp:revision>
  <dcterms:created xsi:type="dcterms:W3CDTF">2018-11-16T09:48:00Z</dcterms:created>
  <dcterms:modified xsi:type="dcterms:W3CDTF">2018-11-16T12:45:00Z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0x01010025DBF9C4A7120049AD1626FBC02C5EE5</vt:lpwstr>
  </property>
</Properties>
</file>